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02" w:rsidRDefault="005F5B25">
      <w:pPr>
        <w:spacing w:before="72"/>
        <w:ind w:left="100"/>
        <w:rPr>
          <w:rFonts w:ascii="Calibri" w:hAnsi="Calibri"/>
          <w:b/>
          <w:sz w:val="24"/>
        </w:rPr>
      </w:pPr>
      <w:r>
        <w:rPr>
          <w:rFonts w:ascii="Calibri" w:hAnsi="Calibri"/>
          <w:b/>
          <w:sz w:val="24"/>
        </w:rPr>
        <w:t>SUPPLEMENTARY FILE 1: A REVIEW OF MALAWI’S NATIONAL COMMUNITY HEALTH STRATEGY</w:t>
      </w:r>
      <w:r w:rsidR="009970EB">
        <w:rPr>
          <w:rStyle w:val="FootnoteReference"/>
          <w:rFonts w:ascii="Calibri" w:hAnsi="Calibri"/>
          <w:b/>
          <w:sz w:val="24"/>
        </w:rPr>
        <w:footnoteReference w:id="1"/>
      </w:r>
    </w:p>
    <w:p w:rsidR="00B73B02" w:rsidRDefault="005F5B25">
      <w:pPr>
        <w:pStyle w:val="BodyText"/>
        <w:spacing w:before="48" w:line="290" w:lineRule="auto"/>
        <w:ind w:left="100" w:right="101"/>
        <w:jc w:val="both"/>
      </w:pPr>
      <w:r>
        <w:rPr>
          <w:w w:val="105"/>
        </w:rPr>
        <w:t xml:space="preserve">This </w:t>
      </w:r>
      <w:r>
        <w:rPr>
          <w:spacing w:val="-3"/>
          <w:w w:val="105"/>
        </w:rPr>
        <w:t xml:space="preserve">supplementary </w:t>
      </w:r>
      <w:r>
        <w:rPr>
          <w:w w:val="105"/>
        </w:rPr>
        <w:t xml:space="preserve">file </w:t>
      </w:r>
      <w:r>
        <w:rPr>
          <w:spacing w:val="-4"/>
          <w:w w:val="105"/>
        </w:rPr>
        <w:t xml:space="preserve">highlights </w:t>
      </w:r>
      <w:r>
        <w:rPr>
          <w:w w:val="105"/>
        </w:rPr>
        <w:t xml:space="preserve">Malawi’s community health strategy objectives, proposed key interventions, and targets to </w:t>
      </w:r>
      <w:r>
        <w:rPr>
          <w:spacing w:val="-3"/>
          <w:w w:val="105"/>
        </w:rPr>
        <w:t xml:space="preserve">be </w:t>
      </w:r>
      <w:r>
        <w:rPr>
          <w:w w:val="105"/>
        </w:rPr>
        <w:t xml:space="preserve">met </w:t>
      </w:r>
      <w:r>
        <w:rPr>
          <w:spacing w:val="-4"/>
          <w:w w:val="105"/>
        </w:rPr>
        <w:t xml:space="preserve">during </w:t>
      </w:r>
      <w:r>
        <w:rPr>
          <w:w w:val="105"/>
        </w:rPr>
        <w:t xml:space="preserve">the implementation period </w:t>
      </w:r>
      <w:r>
        <w:rPr>
          <w:spacing w:val="-3"/>
          <w:w w:val="105"/>
        </w:rPr>
        <w:t xml:space="preserve">(2017 </w:t>
      </w:r>
      <w:r>
        <w:rPr>
          <w:w w:val="105"/>
        </w:rPr>
        <w:t xml:space="preserve">– </w:t>
      </w:r>
      <w:r>
        <w:rPr>
          <w:spacing w:val="-3"/>
          <w:w w:val="105"/>
        </w:rPr>
        <w:t xml:space="preserve">2022). </w:t>
      </w:r>
      <w:r>
        <w:rPr>
          <w:spacing w:val="1"/>
          <w:w w:val="105"/>
        </w:rPr>
        <w:t xml:space="preserve">In </w:t>
      </w:r>
      <w:r>
        <w:rPr>
          <w:w w:val="105"/>
        </w:rPr>
        <w:t xml:space="preserve">reviewing this strategy, the paper draws </w:t>
      </w:r>
      <w:r>
        <w:rPr>
          <w:spacing w:val="1"/>
          <w:w w:val="105"/>
        </w:rPr>
        <w:t xml:space="preserve">on </w:t>
      </w:r>
      <w:r>
        <w:rPr>
          <w:w w:val="105"/>
        </w:rPr>
        <w:t xml:space="preserve">data collected </w:t>
      </w:r>
      <w:r w:rsidR="00F73FBD" w:rsidRPr="00F73FBD">
        <w:rPr>
          <w:w w:val="105"/>
        </w:rPr>
        <w:t xml:space="preserve">as part of a larger study </w:t>
      </w:r>
      <w:r>
        <w:rPr>
          <w:w w:val="105"/>
        </w:rPr>
        <w:t xml:space="preserve">exploring community home-based care (CHBC) </w:t>
      </w:r>
      <w:r>
        <w:rPr>
          <w:spacing w:val="-3"/>
          <w:w w:val="105"/>
        </w:rPr>
        <w:t xml:space="preserve">programmes  </w:t>
      </w:r>
      <w:r>
        <w:rPr>
          <w:w w:val="105"/>
        </w:rPr>
        <w:t xml:space="preserve">role  in </w:t>
      </w:r>
      <w:r>
        <w:rPr>
          <w:spacing w:val="-3"/>
          <w:w w:val="105"/>
        </w:rPr>
        <w:t xml:space="preserve">supporting </w:t>
      </w:r>
      <w:r>
        <w:rPr>
          <w:w w:val="105"/>
        </w:rPr>
        <w:t>chronic care in Phalombe district, Malawi</w:t>
      </w:r>
      <w:r w:rsidR="009970EB">
        <w:rPr>
          <w:rStyle w:val="FootnoteReference"/>
          <w:w w:val="105"/>
        </w:rPr>
        <w:footnoteReference w:id="2"/>
      </w:r>
      <w:r>
        <w:rPr>
          <w:w w:val="105"/>
        </w:rPr>
        <w:t xml:space="preserve">. We synthesised data from: six key informant interviews with district health managers involved with CHBC </w:t>
      </w:r>
      <w:r>
        <w:rPr>
          <w:spacing w:val="-3"/>
          <w:w w:val="105"/>
        </w:rPr>
        <w:t xml:space="preserve">programme </w:t>
      </w:r>
      <w:r>
        <w:rPr>
          <w:w w:val="105"/>
        </w:rPr>
        <w:t xml:space="preserve">implementation; 20 structured-observation reports </w:t>
      </w:r>
      <w:r>
        <w:rPr>
          <w:spacing w:val="1"/>
          <w:w w:val="105"/>
        </w:rPr>
        <w:t xml:space="preserve">of </w:t>
      </w:r>
      <w:r>
        <w:rPr>
          <w:spacing w:val="-3"/>
          <w:w w:val="105"/>
        </w:rPr>
        <w:t xml:space="preserve">meetings </w:t>
      </w:r>
      <w:r>
        <w:rPr>
          <w:w w:val="105"/>
        </w:rPr>
        <w:t xml:space="preserve">and activities involving community health volunteers (CHVs) in CHBC </w:t>
      </w:r>
      <w:r>
        <w:rPr>
          <w:spacing w:val="-3"/>
          <w:w w:val="105"/>
        </w:rPr>
        <w:t xml:space="preserve">programmes </w:t>
      </w:r>
      <w:r>
        <w:rPr>
          <w:w w:val="105"/>
        </w:rPr>
        <w:t xml:space="preserve">within the district; and four focus-group discussions with community/faith based organisation (CBO/FBO) volunteers </w:t>
      </w:r>
      <w:r>
        <w:rPr>
          <w:spacing w:val="-3"/>
          <w:w w:val="105"/>
        </w:rPr>
        <w:t xml:space="preserve">(n=24 respondents). </w:t>
      </w:r>
      <w:r>
        <w:rPr>
          <w:w w:val="105"/>
        </w:rPr>
        <w:t xml:space="preserve">Three community-based organisations and two faith-based organisations were part </w:t>
      </w:r>
      <w:r>
        <w:rPr>
          <w:spacing w:val="1"/>
          <w:w w:val="105"/>
        </w:rPr>
        <w:t xml:space="preserve">of </w:t>
      </w:r>
      <w:r>
        <w:rPr>
          <w:w w:val="105"/>
        </w:rPr>
        <w:t xml:space="preserve">a pilot project </w:t>
      </w:r>
      <w:r>
        <w:rPr>
          <w:spacing w:val="-3"/>
          <w:w w:val="105"/>
        </w:rPr>
        <w:t xml:space="preserve">(2010 </w:t>
      </w:r>
      <w:r>
        <w:rPr>
          <w:w w:val="105"/>
        </w:rPr>
        <w:t xml:space="preserve">– 2013) </w:t>
      </w:r>
      <w:r>
        <w:rPr>
          <w:spacing w:val="1"/>
          <w:w w:val="105"/>
        </w:rPr>
        <w:t xml:space="preserve">on </w:t>
      </w:r>
      <w:r>
        <w:rPr>
          <w:w w:val="105"/>
        </w:rPr>
        <w:t xml:space="preserve">capacity-building volunteers in chronic care, </w:t>
      </w:r>
      <w:r>
        <w:rPr>
          <w:spacing w:val="-3"/>
          <w:w w:val="105"/>
        </w:rPr>
        <w:t xml:space="preserve">implemented by </w:t>
      </w:r>
      <w:r>
        <w:rPr>
          <w:w w:val="105"/>
        </w:rPr>
        <w:t>health partners working in Phalombe</w:t>
      </w:r>
      <w:r>
        <w:rPr>
          <w:spacing w:val="-22"/>
          <w:w w:val="105"/>
        </w:rPr>
        <w:t xml:space="preserve"> </w:t>
      </w:r>
      <w:r>
        <w:rPr>
          <w:w w:val="105"/>
        </w:rPr>
        <w:t>district.</w:t>
      </w:r>
    </w:p>
    <w:p w:rsidR="00B73B02" w:rsidRDefault="00B73B02">
      <w:pPr>
        <w:pStyle w:val="BodyText"/>
        <w:spacing w:before="1"/>
        <w:rPr>
          <w:sz w:val="25"/>
        </w:rPr>
      </w:pPr>
    </w:p>
    <w:p w:rsidR="00B73B02" w:rsidRDefault="005F5B25">
      <w:pPr>
        <w:pStyle w:val="BodyText"/>
        <w:spacing w:before="1" w:line="290" w:lineRule="auto"/>
        <w:ind w:left="100" w:right="103"/>
        <w:jc w:val="both"/>
      </w:pPr>
      <w:r>
        <w:rPr>
          <w:w w:val="105"/>
        </w:rPr>
        <w:t xml:space="preserve">The second component was a desk review </w:t>
      </w:r>
      <w:r>
        <w:rPr>
          <w:spacing w:val="1"/>
          <w:w w:val="105"/>
        </w:rPr>
        <w:t xml:space="preserve">of </w:t>
      </w:r>
      <w:r>
        <w:rPr>
          <w:w w:val="105"/>
        </w:rPr>
        <w:t xml:space="preserve">the national community health strategy, and other policies, reports, and relevant national publications </w:t>
      </w:r>
      <w:r>
        <w:rPr>
          <w:spacing w:val="1"/>
          <w:w w:val="105"/>
        </w:rPr>
        <w:t xml:space="preserve">on </w:t>
      </w:r>
      <w:r>
        <w:rPr>
          <w:w w:val="105"/>
        </w:rPr>
        <w:t xml:space="preserve">community and </w:t>
      </w:r>
      <w:r>
        <w:rPr>
          <w:spacing w:val="-3"/>
          <w:w w:val="105"/>
        </w:rPr>
        <w:t xml:space="preserve">primary </w:t>
      </w:r>
      <w:r>
        <w:rPr>
          <w:w w:val="105"/>
        </w:rPr>
        <w:t xml:space="preserve">health in Malawi. These </w:t>
      </w:r>
      <w:r>
        <w:rPr>
          <w:spacing w:val="-3"/>
          <w:w w:val="105"/>
        </w:rPr>
        <w:t xml:space="preserve">included </w:t>
      </w:r>
      <w:r>
        <w:rPr>
          <w:w w:val="105"/>
        </w:rPr>
        <w:t xml:space="preserve">the National Health Strategic Plans (2011-2016; 2017 – </w:t>
      </w:r>
      <w:r>
        <w:rPr>
          <w:spacing w:val="-3"/>
          <w:w w:val="105"/>
        </w:rPr>
        <w:t xml:space="preserve">2022); training </w:t>
      </w:r>
      <w:r>
        <w:rPr>
          <w:w w:val="105"/>
        </w:rPr>
        <w:t xml:space="preserve">manuals </w:t>
      </w:r>
      <w:r>
        <w:rPr>
          <w:spacing w:val="2"/>
          <w:w w:val="105"/>
        </w:rPr>
        <w:t xml:space="preserve">for </w:t>
      </w:r>
      <w:r>
        <w:rPr>
          <w:w w:val="105"/>
        </w:rPr>
        <w:t xml:space="preserve">health surveillance assistants </w:t>
      </w:r>
      <w:r>
        <w:rPr>
          <w:spacing w:val="-4"/>
          <w:w w:val="105"/>
        </w:rPr>
        <w:t xml:space="preserve">(HSAs) </w:t>
      </w:r>
      <w:r>
        <w:rPr>
          <w:w w:val="105"/>
        </w:rPr>
        <w:t>and village</w:t>
      </w:r>
      <w:r>
        <w:rPr>
          <w:spacing w:val="48"/>
          <w:w w:val="105"/>
        </w:rPr>
        <w:t xml:space="preserve"> </w:t>
      </w:r>
      <w:r>
        <w:rPr>
          <w:w w:val="105"/>
        </w:rPr>
        <w:t xml:space="preserve">health committees; </w:t>
      </w:r>
      <w:r>
        <w:rPr>
          <w:spacing w:val="-3"/>
          <w:w w:val="105"/>
        </w:rPr>
        <w:t xml:space="preserve">guidelines </w:t>
      </w:r>
      <w:r>
        <w:rPr>
          <w:spacing w:val="2"/>
          <w:w w:val="105"/>
        </w:rPr>
        <w:t xml:space="preserve">for </w:t>
      </w:r>
      <w:r>
        <w:rPr>
          <w:w w:val="105"/>
        </w:rPr>
        <w:t xml:space="preserve">the </w:t>
      </w:r>
      <w:r>
        <w:rPr>
          <w:spacing w:val="-3"/>
          <w:w w:val="105"/>
        </w:rPr>
        <w:t xml:space="preserve">management </w:t>
      </w:r>
      <w:r>
        <w:rPr>
          <w:spacing w:val="1"/>
          <w:w w:val="105"/>
        </w:rPr>
        <w:t xml:space="preserve">of </w:t>
      </w:r>
      <w:r>
        <w:rPr>
          <w:w w:val="105"/>
        </w:rPr>
        <w:t xml:space="preserve">task-shifting to </w:t>
      </w:r>
      <w:r>
        <w:rPr>
          <w:spacing w:val="-3"/>
          <w:w w:val="105"/>
        </w:rPr>
        <w:t xml:space="preserve">HSAs; </w:t>
      </w:r>
      <w:r>
        <w:rPr>
          <w:w w:val="105"/>
        </w:rPr>
        <w:t>national health  accounts  report; national palliative policy and community home-based care</w:t>
      </w:r>
      <w:r>
        <w:rPr>
          <w:spacing w:val="-19"/>
          <w:w w:val="105"/>
        </w:rPr>
        <w:t xml:space="preserve"> </w:t>
      </w:r>
      <w:r>
        <w:rPr>
          <w:spacing w:val="-3"/>
          <w:w w:val="105"/>
        </w:rPr>
        <w:t>guidelines.</w:t>
      </w:r>
    </w:p>
    <w:p w:rsidR="00B73B02" w:rsidRDefault="00B73B02">
      <w:pPr>
        <w:pStyle w:val="BodyText"/>
        <w:spacing w:before="5"/>
        <w:rPr>
          <w:sz w:val="24"/>
        </w:rPr>
      </w:pPr>
    </w:p>
    <w:p w:rsidR="00B73B02" w:rsidRDefault="005F5B25" w:rsidP="00F73FBD">
      <w:pPr>
        <w:pStyle w:val="BodyText"/>
        <w:spacing w:line="292" w:lineRule="auto"/>
        <w:ind w:left="100" w:right="106"/>
        <w:jc w:val="both"/>
        <w:sectPr w:rsidR="00B73B02">
          <w:type w:val="continuous"/>
          <w:pgSz w:w="11910" w:h="16840"/>
          <w:pgMar w:top="920" w:right="600" w:bottom="280" w:left="620" w:header="720" w:footer="720" w:gutter="0"/>
          <w:cols w:space="720"/>
        </w:sectPr>
      </w:pPr>
      <w:r>
        <w:rPr>
          <w:w w:val="105"/>
        </w:rPr>
        <w:t xml:space="preserve">Information extracted from these documents and synthesis </w:t>
      </w:r>
      <w:r>
        <w:rPr>
          <w:spacing w:val="1"/>
          <w:w w:val="105"/>
        </w:rPr>
        <w:t xml:space="preserve">of </w:t>
      </w:r>
      <w:r>
        <w:rPr>
          <w:spacing w:val="-3"/>
          <w:w w:val="105"/>
        </w:rPr>
        <w:t xml:space="preserve">findings </w:t>
      </w:r>
      <w:r>
        <w:rPr>
          <w:w w:val="105"/>
        </w:rPr>
        <w:t xml:space="preserve">from the qualitative </w:t>
      </w:r>
      <w:r>
        <w:rPr>
          <w:spacing w:val="-3"/>
          <w:w w:val="105"/>
        </w:rPr>
        <w:t xml:space="preserve">study </w:t>
      </w:r>
      <w:r>
        <w:rPr>
          <w:w w:val="105"/>
        </w:rPr>
        <w:t xml:space="preserve">is </w:t>
      </w:r>
      <w:r>
        <w:rPr>
          <w:spacing w:val="-3"/>
          <w:w w:val="105"/>
        </w:rPr>
        <w:t xml:space="preserve">summarised </w:t>
      </w:r>
      <w:r>
        <w:rPr>
          <w:w w:val="105"/>
        </w:rPr>
        <w:t>in the table</w:t>
      </w:r>
      <w:r>
        <w:rPr>
          <w:spacing w:val="20"/>
          <w:w w:val="105"/>
        </w:rPr>
        <w:t xml:space="preserve"> </w:t>
      </w:r>
      <w:r>
        <w:rPr>
          <w:w w:val="105"/>
        </w:rPr>
        <w:t>below.</w:t>
      </w:r>
      <w:r w:rsidR="009970EB">
        <w:rPr>
          <w:sz w:val="20"/>
        </w:rPr>
        <w:t xml:space="preserve"> </w:t>
      </w:r>
    </w:p>
    <w:tbl>
      <w:tblPr>
        <w:tblW w:w="0" w:type="auto"/>
        <w:tblInd w:w="105" w:type="dxa"/>
        <w:tblLayout w:type="fixed"/>
        <w:tblCellMar>
          <w:left w:w="0" w:type="dxa"/>
          <w:right w:w="0" w:type="dxa"/>
        </w:tblCellMar>
        <w:tblLook w:val="01E0" w:firstRow="1" w:lastRow="1" w:firstColumn="1" w:lastColumn="1" w:noHBand="0" w:noVBand="0"/>
      </w:tblPr>
      <w:tblGrid>
        <w:gridCol w:w="2519"/>
        <w:gridCol w:w="4690"/>
        <w:gridCol w:w="3688"/>
        <w:gridCol w:w="4732"/>
      </w:tblGrid>
      <w:tr w:rsidR="00B73B02">
        <w:trPr>
          <w:trHeight w:val="893"/>
        </w:trPr>
        <w:tc>
          <w:tcPr>
            <w:tcW w:w="2519"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4"/>
              <w:rPr>
                <w:b/>
                <w:sz w:val="20"/>
              </w:rPr>
            </w:pPr>
            <w:r>
              <w:rPr>
                <w:b/>
                <w:sz w:val="20"/>
              </w:rPr>
              <w:lastRenderedPageBreak/>
              <w:t>National Community Health</w:t>
            </w:r>
          </w:p>
          <w:p w:rsidR="00B73B02" w:rsidRDefault="005F5B25">
            <w:pPr>
              <w:pStyle w:val="TableParagraph"/>
              <w:spacing w:line="228" w:lineRule="exact"/>
              <w:ind w:left="114"/>
              <w:rPr>
                <w:b/>
                <w:sz w:val="20"/>
              </w:rPr>
            </w:pPr>
            <w:r>
              <w:rPr>
                <w:b/>
                <w:sz w:val="20"/>
              </w:rPr>
              <w:t>Strategy</w:t>
            </w:r>
          </w:p>
          <w:p w:rsidR="00B73B02" w:rsidRDefault="005F5B25">
            <w:pPr>
              <w:pStyle w:val="TableParagraph"/>
              <w:numPr>
                <w:ilvl w:val="0"/>
                <w:numId w:val="5"/>
              </w:numPr>
              <w:tabs>
                <w:tab w:val="left" w:pos="259"/>
              </w:tabs>
              <w:spacing w:line="228" w:lineRule="exact"/>
              <w:rPr>
                <w:b/>
                <w:sz w:val="20"/>
              </w:rPr>
            </w:pPr>
            <w:r>
              <w:rPr>
                <w:b/>
                <w:sz w:val="20"/>
              </w:rPr>
              <w:t xml:space="preserve">6 </w:t>
            </w:r>
            <w:r>
              <w:rPr>
                <w:b/>
                <w:spacing w:val="1"/>
                <w:sz w:val="20"/>
              </w:rPr>
              <w:t xml:space="preserve">strategic </w:t>
            </w:r>
            <w:r>
              <w:rPr>
                <w:b/>
                <w:sz w:val="20"/>
              </w:rPr>
              <w:t>objectives</w:t>
            </w:r>
            <w:r>
              <w:rPr>
                <w:b/>
                <w:spacing w:val="-22"/>
                <w:sz w:val="20"/>
              </w:rPr>
              <w:t xml:space="preserve"> </w:t>
            </w:r>
            <w:r>
              <w:rPr>
                <w:b/>
                <w:sz w:val="20"/>
              </w:rPr>
              <w:t>(SO)</w:t>
            </w:r>
          </w:p>
          <w:p w:rsidR="00B73B02" w:rsidRDefault="005F5B25">
            <w:pPr>
              <w:pStyle w:val="TableParagraph"/>
              <w:numPr>
                <w:ilvl w:val="0"/>
                <w:numId w:val="5"/>
              </w:numPr>
              <w:tabs>
                <w:tab w:val="left" w:pos="259"/>
              </w:tabs>
              <w:spacing w:line="229" w:lineRule="exact"/>
              <w:rPr>
                <w:b/>
                <w:sz w:val="20"/>
              </w:rPr>
            </w:pPr>
            <w:r>
              <w:rPr>
                <w:b/>
                <w:sz w:val="20"/>
              </w:rPr>
              <w:t xml:space="preserve">6 </w:t>
            </w:r>
            <w:r>
              <w:rPr>
                <w:b/>
                <w:spacing w:val="1"/>
                <w:sz w:val="20"/>
              </w:rPr>
              <w:t xml:space="preserve">guiding </w:t>
            </w:r>
            <w:r>
              <w:rPr>
                <w:b/>
                <w:spacing w:val="-3"/>
                <w:sz w:val="20"/>
              </w:rPr>
              <w:t>principles</w:t>
            </w:r>
            <w:r>
              <w:rPr>
                <w:b/>
                <w:spacing w:val="-6"/>
                <w:sz w:val="20"/>
              </w:rPr>
              <w:t xml:space="preserve"> </w:t>
            </w:r>
            <w:r>
              <w:rPr>
                <w:b/>
                <w:sz w:val="20"/>
              </w:rPr>
              <w:t>(GP)</w:t>
            </w:r>
          </w:p>
        </w:tc>
        <w:tc>
          <w:tcPr>
            <w:tcW w:w="4690"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7"/>
              <w:rPr>
                <w:b/>
                <w:i/>
                <w:sz w:val="20"/>
              </w:rPr>
            </w:pPr>
            <w:r>
              <w:rPr>
                <w:b/>
                <w:i/>
                <w:sz w:val="20"/>
              </w:rPr>
              <w:t>Synthesis of data from research on community home-</w:t>
            </w:r>
          </w:p>
          <w:p w:rsidR="00B73B02" w:rsidRDefault="005F5B25">
            <w:pPr>
              <w:pStyle w:val="TableParagraph"/>
              <w:ind w:left="117" w:right="163"/>
              <w:rPr>
                <w:b/>
                <w:i/>
                <w:sz w:val="20"/>
              </w:rPr>
            </w:pPr>
            <w:r>
              <w:rPr>
                <w:b/>
                <w:i/>
                <w:sz w:val="20"/>
              </w:rPr>
              <w:t>based care programmes role in chronic care in Phalombe district, Malawi</w:t>
            </w:r>
          </w:p>
        </w:tc>
        <w:tc>
          <w:tcPr>
            <w:tcW w:w="3688"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0"/>
              <w:rPr>
                <w:b/>
                <w:sz w:val="20"/>
              </w:rPr>
            </w:pPr>
            <w:r>
              <w:rPr>
                <w:b/>
                <w:sz w:val="20"/>
              </w:rPr>
              <w:t>What are the current gaps in the strategy</w:t>
            </w:r>
          </w:p>
          <w:p w:rsidR="00B73B02" w:rsidRDefault="005F5B25">
            <w:pPr>
              <w:pStyle w:val="TableParagraph"/>
              <w:spacing w:line="229" w:lineRule="exact"/>
              <w:ind w:left="110"/>
              <w:rPr>
                <w:b/>
                <w:i/>
                <w:sz w:val="20"/>
              </w:rPr>
            </w:pPr>
            <w:r>
              <w:rPr>
                <w:b/>
                <w:sz w:val="20"/>
              </w:rPr>
              <w:t xml:space="preserve">- </w:t>
            </w:r>
            <w:r>
              <w:rPr>
                <w:b/>
                <w:i/>
                <w:sz w:val="20"/>
              </w:rPr>
              <w:t>challenges for implementation</w:t>
            </w:r>
          </w:p>
        </w:tc>
        <w:tc>
          <w:tcPr>
            <w:tcW w:w="4732" w:type="dxa"/>
            <w:tcBorders>
              <w:top w:val="single" w:sz="6" w:space="0" w:color="000000"/>
              <w:bottom w:val="single" w:sz="6" w:space="0" w:color="000000"/>
            </w:tcBorders>
            <w:shd w:val="clear" w:color="auto" w:fill="F1F1F1"/>
          </w:tcPr>
          <w:p w:rsidR="00B73B02" w:rsidRDefault="005F5B25">
            <w:pPr>
              <w:pStyle w:val="TableParagraph"/>
              <w:spacing w:line="205" w:lineRule="exact"/>
              <w:ind w:left="109"/>
              <w:rPr>
                <w:b/>
                <w:i/>
                <w:sz w:val="20"/>
              </w:rPr>
            </w:pPr>
            <w:r>
              <w:rPr>
                <w:b/>
                <w:i/>
                <w:sz w:val="20"/>
              </w:rPr>
              <w:t>Recommendations and opportunities to explore</w:t>
            </w:r>
          </w:p>
          <w:p w:rsidR="00B73B02" w:rsidRDefault="005F5B25">
            <w:pPr>
              <w:pStyle w:val="TableParagraph"/>
              <w:spacing w:line="229" w:lineRule="exact"/>
              <w:ind w:left="109"/>
              <w:rPr>
                <w:b/>
                <w:i/>
                <w:sz w:val="20"/>
              </w:rPr>
            </w:pPr>
            <w:r>
              <w:rPr>
                <w:b/>
                <w:i/>
                <w:sz w:val="20"/>
              </w:rPr>
              <w:t>- as stated in the strategy and research synthesis</w:t>
            </w:r>
          </w:p>
        </w:tc>
      </w:tr>
      <w:tr w:rsidR="00B73B02">
        <w:trPr>
          <w:trHeight w:val="3215"/>
        </w:trPr>
        <w:tc>
          <w:tcPr>
            <w:tcW w:w="2519" w:type="dxa"/>
            <w:tcBorders>
              <w:top w:val="single" w:sz="6" w:space="0" w:color="000000"/>
              <w:bottom w:val="single" w:sz="6" w:space="0" w:color="000000"/>
            </w:tcBorders>
          </w:tcPr>
          <w:p w:rsidR="00B73B02" w:rsidRDefault="005F5B25">
            <w:pPr>
              <w:pStyle w:val="TableParagraph"/>
              <w:spacing w:line="205" w:lineRule="exact"/>
              <w:ind w:left="114"/>
              <w:rPr>
                <w:b/>
                <w:sz w:val="20"/>
              </w:rPr>
            </w:pPr>
            <w:r>
              <w:rPr>
                <w:b/>
                <w:sz w:val="20"/>
              </w:rPr>
              <w:t>A. HUMAN RESOURCES</w:t>
            </w:r>
          </w:p>
          <w:p w:rsidR="00B73B02" w:rsidRDefault="005F5B25">
            <w:pPr>
              <w:pStyle w:val="TableParagraph"/>
              <w:ind w:left="114" w:right="133"/>
              <w:rPr>
                <w:sz w:val="20"/>
              </w:rPr>
            </w:pPr>
            <w:r>
              <w:rPr>
                <w:i/>
                <w:sz w:val="20"/>
              </w:rPr>
              <w:t xml:space="preserve">1) Description of the cadres </w:t>
            </w:r>
            <w:r>
              <w:rPr>
                <w:sz w:val="20"/>
              </w:rPr>
              <w:t xml:space="preserve">The term Community </w:t>
            </w:r>
            <w:r>
              <w:rPr>
                <w:spacing w:val="-2"/>
                <w:sz w:val="20"/>
              </w:rPr>
              <w:t xml:space="preserve">Health </w:t>
            </w:r>
            <w:r>
              <w:rPr>
                <w:sz w:val="20"/>
              </w:rPr>
              <w:t xml:space="preserve">Workers (CHW) in </w:t>
            </w:r>
            <w:r>
              <w:rPr>
                <w:spacing w:val="-4"/>
                <w:sz w:val="20"/>
              </w:rPr>
              <w:t xml:space="preserve">the </w:t>
            </w:r>
            <w:r>
              <w:rPr>
                <w:spacing w:val="-3"/>
                <w:sz w:val="20"/>
              </w:rPr>
              <w:t xml:space="preserve">strategy </w:t>
            </w:r>
            <w:r>
              <w:rPr>
                <w:sz w:val="20"/>
              </w:rPr>
              <w:t xml:space="preserve">refers </w:t>
            </w:r>
            <w:r>
              <w:rPr>
                <w:spacing w:val="-6"/>
                <w:sz w:val="20"/>
              </w:rPr>
              <w:t xml:space="preserve">to </w:t>
            </w:r>
            <w:r>
              <w:rPr>
                <w:sz w:val="20"/>
              </w:rPr>
              <w:t xml:space="preserve">paid health worker cadre working in communities </w:t>
            </w:r>
            <w:r>
              <w:rPr>
                <w:spacing w:val="-4"/>
                <w:sz w:val="20"/>
              </w:rPr>
              <w:t xml:space="preserve">who </w:t>
            </w:r>
            <w:r>
              <w:rPr>
                <w:sz w:val="20"/>
              </w:rPr>
              <w:t xml:space="preserve">include </w:t>
            </w:r>
            <w:r>
              <w:rPr>
                <w:spacing w:val="-2"/>
                <w:sz w:val="20"/>
              </w:rPr>
              <w:t xml:space="preserve">Health </w:t>
            </w:r>
            <w:r>
              <w:rPr>
                <w:sz w:val="20"/>
              </w:rPr>
              <w:t xml:space="preserve">Surveillance  </w:t>
            </w:r>
            <w:r>
              <w:rPr>
                <w:spacing w:val="-3"/>
                <w:sz w:val="20"/>
              </w:rPr>
              <w:t xml:space="preserve">Assistants </w:t>
            </w:r>
            <w:r>
              <w:rPr>
                <w:sz w:val="20"/>
              </w:rPr>
              <w:t xml:space="preserve">(HSAs), senior </w:t>
            </w:r>
            <w:r>
              <w:rPr>
                <w:spacing w:val="-3"/>
                <w:sz w:val="20"/>
              </w:rPr>
              <w:t xml:space="preserve">HSAs </w:t>
            </w:r>
            <w:r>
              <w:rPr>
                <w:sz w:val="20"/>
              </w:rPr>
              <w:t xml:space="preserve">(SHSAs), Community Midwife </w:t>
            </w:r>
            <w:r>
              <w:rPr>
                <w:spacing w:val="-3"/>
                <w:sz w:val="20"/>
              </w:rPr>
              <w:t xml:space="preserve">Assistants </w:t>
            </w:r>
            <w:r>
              <w:rPr>
                <w:spacing w:val="1"/>
                <w:sz w:val="20"/>
              </w:rPr>
              <w:t xml:space="preserve">(CMA), </w:t>
            </w:r>
            <w:r>
              <w:rPr>
                <w:spacing w:val="-3"/>
                <w:sz w:val="20"/>
              </w:rPr>
              <w:t xml:space="preserve">Community </w:t>
            </w:r>
            <w:r>
              <w:rPr>
                <w:spacing w:val="-2"/>
                <w:sz w:val="20"/>
              </w:rPr>
              <w:t xml:space="preserve">Health </w:t>
            </w:r>
            <w:r>
              <w:rPr>
                <w:sz w:val="20"/>
              </w:rPr>
              <w:t xml:space="preserve">Nurse (CHN), Assistant Environmental </w:t>
            </w:r>
            <w:r>
              <w:rPr>
                <w:spacing w:val="-2"/>
                <w:sz w:val="20"/>
              </w:rPr>
              <w:t xml:space="preserve">Health </w:t>
            </w:r>
            <w:r>
              <w:rPr>
                <w:spacing w:val="-4"/>
                <w:sz w:val="20"/>
              </w:rPr>
              <w:t xml:space="preserve">Officer </w:t>
            </w:r>
            <w:r>
              <w:rPr>
                <w:sz w:val="20"/>
              </w:rPr>
              <w:t>(AEHO).</w:t>
            </w:r>
          </w:p>
        </w:tc>
        <w:tc>
          <w:tcPr>
            <w:tcW w:w="4690" w:type="dxa"/>
            <w:tcBorders>
              <w:top w:val="single" w:sz="6" w:space="0" w:color="000000"/>
              <w:bottom w:val="single" w:sz="6" w:space="0" w:color="000000"/>
            </w:tcBorders>
          </w:tcPr>
          <w:p w:rsidR="00B73B02" w:rsidRDefault="005F5B25">
            <w:pPr>
              <w:pStyle w:val="TableParagraph"/>
              <w:spacing w:line="205" w:lineRule="exact"/>
              <w:ind w:left="117"/>
              <w:rPr>
                <w:sz w:val="20"/>
              </w:rPr>
            </w:pPr>
            <w:r>
              <w:rPr>
                <w:sz w:val="20"/>
              </w:rPr>
              <w:t>CBO/FBO are composed of lay volunteers living in the same</w:t>
            </w:r>
          </w:p>
          <w:p w:rsidR="00B73B02" w:rsidRDefault="005F5B25">
            <w:pPr>
              <w:pStyle w:val="TableParagraph"/>
              <w:spacing w:line="228" w:lineRule="exact"/>
              <w:ind w:left="117"/>
              <w:rPr>
                <w:sz w:val="20"/>
              </w:rPr>
            </w:pPr>
            <w:r>
              <w:rPr>
                <w:sz w:val="20"/>
              </w:rPr>
              <w:t>community with patients. CBO/FBOs are registered</w:t>
            </w:r>
          </w:p>
          <w:p w:rsidR="00B73B02" w:rsidRDefault="005F5B25">
            <w:pPr>
              <w:pStyle w:val="TableParagraph"/>
              <w:spacing w:line="244" w:lineRule="auto"/>
              <w:ind w:left="117" w:right="163"/>
              <w:rPr>
                <w:sz w:val="20"/>
              </w:rPr>
            </w:pPr>
            <w:r>
              <w:rPr>
                <w:sz w:val="20"/>
              </w:rPr>
              <w:t>community groups with the Ministry of Gender, Children, Disability and Social Welfare. They offer a range of health and non-health support.</w:t>
            </w:r>
          </w:p>
          <w:p w:rsidR="00B73B02" w:rsidRDefault="00B73B02">
            <w:pPr>
              <w:pStyle w:val="TableParagraph"/>
              <w:spacing w:before="2"/>
              <w:rPr>
                <w:rFonts w:ascii="Calibri"/>
                <w:sz w:val="18"/>
              </w:rPr>
            </w:pPr>
          </w:p>
          <w:p w:rsidR="00B73B02" w:rsidRDefault="005F5B25">
            <w:pPr>
              <w:pStyle w:val="TableParagraph"/>
              <w:ind w:left="117"/>
              <w:rPr>
                <w:sz w:val="20"/>
              </w:rPr>
            </w:pPr>
            <w:r>
              <w:rPr>
                <w:sz w:val="20"/>
              </w:rPr>
              <w:t>The focus is promoting health and social development. Care and support aim s at improving lives, self-reliance and mitigating economic vulnerability.</w:t>
            </w:r>
          </w:p>
        </w:tc>
        <w:tc>
          <w:tcPr>
            <w:tcW w:w="3688" w:type="dxa"/>
            <w:tcBorders>
              <w:top w:val="single" w:sz="6" w:space="0" w:color="000000"/>
              <w:bottom w:val="single" w:sz="6" w:space="0" w:color="000000"/>
            </w:tcBorders>
          </w:tcPr>
          <w:p w:rsidR="00B73B02" w:rsidRDefault="005F5B25">
            <w:pPr>
              <w:pStyle w:val="TableParagraph"/>
              <w:spacing w:line="205" w:lineRule="exact"/>
              <w:ind w:left="110"/>
              <w:rPr>
                <w:sz w:val="20"/>
              </w:rPr>
            </w:pPr>
            <w:r>
              <w:rPr>
                <w:sz w:val="20"/>
              </w:rPr>
              <w:t>Community health volunteers (CHVs) are</w:t>
            </w:r>
          </w:p>
          <w:p w:rsidR="00B73B02" w:rsidRDefault="005F5B25">
            <w:pPr>
              <w:pStyle w:val="TableParagraph"/>
              <w:ind w:left="110" w:right="148"/>
              <w:rPr>
                <w:sz w:val="20"/>
              </w:rPr>
            </w:pPr>
            <w:r>
              <w:rPr>
                <w:sz w:val="20"/>
              </w:rPr>
              <w:t xml:space="preserve">defined in </w:t>
            </w:r>
            <w:r>
              <w:rPr>
                <w:spacing w:val="-4"/>
                <w:sz w:val="20"/>
              </w:rPr>
              <w:t xml:space="preserve">the </w:t>
            </w:r>
            <w:r>
              <w:rPr>
                <w:spacing w:val="-3"/>
                <w:sz w:val="20"/>
              </w:rPr>
              <w:t xml:space="preserve">strategy </w:t>
            </w:r>
            <w:r>
              <w:rPr>
                <w:sz w:val="20"/>
              </w:rPr>
              <w:t xml:space="preserve">as, </w:t>
            </w:r>
            <w:r>
              <w:rPr>
                <w:i/>
                <w:sz w:val="20"/>
              </w:rPr>
              <w:t xml:space="preserve">“individuals who willingly offer their time, skills, and </w:t>
            </w:r>
            <w:r>
              <w:rPr>
                <w:i/>
                <w:spacing w:val="-3"/>
                <w:sz w:val="20"/>
              </w:rPr>
              <w:t xml:space="preserve">knowledge </w:t>
            </w:r>
            <w:r>
              <w:rPr>
                <w:i/>
                <w:sz w:val="20"/>
              </w:rPr>
              <w:t>to work with communities to improve the health status of communities they reside in without expecting financial remuneration”</w:t>
            </w:r>
            <w:r>
              <w:rPr>
                <w:sz w:val="20"/>
              </w:rPr>
              <w:t xml:space="preserve">. While </w:t>
            </w:r>
            <w:r>
              <w:rPr>
                <w:spacing w:val="-4"/>
                <w:sz w:val="20"/>
              </w:rPr>
              <w:t xml:space="preserve">the </w:t>
            </w:r>
            <w:r>
              <w:rPr>
                <w:spacing w:val="-3"/>
                <w:sz w:val="20"/>
              </w:rPr>
              <w:t xml:space="preserve">strategy </w:t>
            </w:r>
            <w:r>
              <w:rPr>
                <w:sz w:val="20"/>
              </w:rPr>
              <w:t xml:space="preserve">acknowledges </w:t>
            </w:r>
            <w:r>
              <w:rPr>
                <w:spacing w:val="-4"/>
                <w:sz w:val="20"/>
              </w:rPr>
              <w:t xml:space="preserve">the </w:t>
            </w:r>
            <w:r>
              <w:rPr>
                <w:sz w:val="20"/>
              </w:rPr>
              <w:t xml:space="preserve">existence of an </w:t>
            </w:r>
            <w:r>
              <w:rPr>
                <w:spacing w:val="-3"/>
                <w:sz w:val="20"/>
              </w:rPr>
              <w:t xml:space="preserve">active network </w:t>
            </w:r>
            <w:r>
              <w:rPr>
                <w:sz w:val="20"/>
              </w:rPr>
              <w:t xml:space="preserve">of CHVs, examples given of CHVs are not exhaustive, and CHVs </w:t>
            </w:r>
            <w:r>
              <w:rPr>
                <w:spacing w:val="-3"/>
                <w:sz w:val="20"/>
              </w:rPr>
              <w:t xml:space="preserve">potential </w:t>
            </w:r>
            <w:r>
              <w:rPr>
                <w:sz w:val="20"/>
              </w:rPr>
              <w:t>roles</w:t>
            </w:r>
            <w:r>
              <w:rPr>
                <w:spacing w:val="-9"/>
                <w:sz w:val="20"/>
              </w:rPr>
              <w:t xml:space="preserve"> </w:t>
            </w:r>
            <w:r>
              <w:rPr>
                <w:sz w:val="20"/>
              </w:rPr>
              <w:t>not</w:t>
            </w:r>
            <w:r>
              <w:rPr>
                <w:spacing w:val="-21"/>
                <w:sz w:val="20"/>
              </w:rPr>
              <w:t xml:space="preserve"> </w:t>
            </w:r>
            <w:r>
              <w:rPr>
                <w:sz w:val="20"/>
              </w:rPr>
              <w:t>clearly</w:t>
            </w:r>
            <w:r>
              <w:rPr>
                <w:spacing w:val="-9"/>
                <w:sz w:val="20"/>
              </w:rPr>
              <w:t xml:space="preserve"> </w:t>
            </w:r>
            <w:r>
              <w:rPr>
                <w:sz w:val="20"/>
              </w:rPr>
              <w:t>spelt</w:t>
            </w:r>
            <w:r>
              <w:rPr>
                <w:spacing w:val="-21"/>
                <w:sz w:val="20"/>
              </w:rPr>
              <w:t xml:space="preserve"> </w:t>
            </w:r>
            <w:r>
              <w:rPr>
                <w:spacing w:val="-3"/>
                <w:sz w:val="20"/>
              </w:rPr>
              <w:t>out.</w:t>
            </w:r>
          </w:p>
          <w:p w:rsidR="00B73B02" w:rsidRDefault="00B73B02">
            <w:pPr>
              <w:pStyle w:val="TableParagraph"/>
              <w:spacing w:before="8"/>
              <w:rPr>
                <w:rFonts w:ascii="Calibri"/>
                <w:sz w:val="19"/>
              </w:rPr>
            </w:pPr>
          </w:p>
          <w:p w:rsidR="00B73B02" w:rsidRDefault="005F5B25">
            <w:pPr>
              <w:pStyle w:val="TableParagraph"/>
              <w:ind w:left="110" w:right="115"/>
              <w:rPr>
                <w:sz w:val="20"/>
              </w:rPr>
            </w:pPr>
            <w:r>
              <w:rPr>
                <w:spacing w:val="-6"/>
                <w:sz w:val="20"/>
              </w:rPr>
              <w:t xml:space="preserve">In </w:t>
            </w:r>
            <w:r>
              <w:rPr>
                <w:spacing w:val="-4"/>
                <w:sz w:val="20"/>
              </w:rPr>
              <w:t xml:space="preserve">the </w:t>
            </w:r>
            <w:r>
              <w:rPr>
                <w:sz w:val="20"/>
              </w:rPr>
              <w:t xml:space="preserve">entire </w:t>
            </w:r>
            <w:r>
              <w:rPr>
                <w:spacing w:val="-2"/>
                <w:sz w:val="20"/>
              </w:rPr>
              <w:t xml:space="preserve">strategy, </w:t>
            </w:r>
            <w:r>
              <w:rPr>
                <w:sz w:val="20"/>
              </w:rPr>
              <w:t xml:space="preserve">a lot of </w:t>
            </w:r>
            <w:r>
              <w:rPr>
                <w:spacing w:val="-4"/>
                <w:sz w:val="20"/>
              </w:rPr>
              <w:t xml:space="preserve">attention  </w:t>
            </w:r>
            <w:r>
              <w:rPr>
                <w:sz w:val="20"/>
              </w:rPr>
              <w:t xml:space="preserve">is targeted </w:t>
            </w:r>
            <w:r>
              <w:rPr>
                <w:spacing w:val="-6"/>
                <w:sz w:val="20"/>
              </w:rPr>
              <w:t xml:space="preserve">to </w:t>
            </w:r>
            <w:r>
              <w:rPr>
                <w:spacing w:val="-4"/>
                <w:sz w:val="20"/>
              </w:rPr>
              <w:t xml:space="preserve">the </w:t>
            </w:r>
            <w:r>
              <w:rPr>
                <w:sz w:val="20"/>
              </w:rPr>
              <w:t xml:space="preserve">HSAs and other paid </w:t>
            </w:r>
            <w:r>
              <w:rPr>
                <w:spacing w:val="-3"/>
                <w:sz w:val="20"/>
              </w:rPr>
              <w:t xml:space="preserve">community </w:t>
            </w:r>
            <w:r>
              <w:rPr>
                <w:sz w:val="20"/>
              </w:rPr>
              <w:t>health worker</w:t>
            </w:r>
            <w:r>
              <w:rPr>
                <w:spacing w:val="-9"/>
                <w:sz w:val="20"/>
              </w:rPr>
              <w:t xml:space="preserve"> </w:t>
            </w:r>
            <w:r>
              <w:rPr>
                <w:sz w:val="20"/>
              </w:rPr>
              <w:t>cadres.</w:t>
            </w:r>
          </w:p>
        </w:tc>
        <w:tc>
          <w:tcPr>
            <w:tcW w:w="4732" w:type="dxa"/>
            <w:tcBorders>
              <w:top w:val="single" w:sz="6" w:space="0" w:color="000000"/>
              <w:bottom w:val="single" w:sz="6" w:space="0" w:color="000000"/>
            </w:tcBorders>
          </w:tcPr>
          <w:p w:rsidR="00B73B02" w:rsidRDefault="005F5B25">
            <w:pPr>
              <w:pStyle w:val="TableParagraph"/>
              <w:spacing w:line="205" w:lineRule="exact"/>
              <w:ind w:left="109"/>
              <w:rPr>
                <w:sz w:val="20"/>
              </w:rPr>
            </w:pPr>
            <w:r>
              <w:rPr>
                <w:sz w:val="20"/>
              </w:rPr>
              <w:t>The loose description of community health volunteers, and</w:t>
            </w:r>
          </w:p>
          <w:p w:rsidR="00B73B02" w:rsidRDefault="005F5B25">
            <w:pPr>
              <w:pStyle w:val="TableParagraph"/>
              <w:spacing w:line="242" w:lineRule="auto"/>
              <w:ind w:left="109" w:right="148"/>
              <w:rPr>
                <w:sz w:val="20"/>
              </w:rPr>
            </w:pPr>
            <w:r>
              <w:rPr>
                <w:sz w:val="20"/>
              </w:rPr>
              <w:t>emphasis on those in prioritised community structures e.g. village health committees, risks the loss of recognition, and valuable contribution from volunteers in other programmes (e.g. volunteers in CBO/FBOs).</w:t>
            </w:r>
          </w:p>
        </w:tc>
      </w:tr>
      <w:tr w:rsidR="00B73B02">
        <w:trPr>
          <w:trHeight w:val="5755"/>
        </w:trPr>
        <w:tc>
          <w:tcPr>
            <w:tcW w:w="2519" w:type="dxa"/>
            <w:tcBorders>
              <w:top w:val="single" w:sz="6" w:space="0" w:color="000000"/>
              <w:bottom w:val="single" w:sz="6" w:space="0" w:color="000000"/>
            </w:tcBorders>
          </w:tcPr>
          <w:p w:rsidR="00B73B02" w:rsidRDefault="005F5B25">
            <w:pPr>
              <w:pStyle w:val="TableParagraph"/>
              <w:spacing w:line="204" w:lineRule="exact"/>
              <w:ind w:left="114"/>
              <w:rPr>
                <w:b/>
                <w:sz w:val="20"/>
              </w:rPr>
            </w:pPr>
            <w:r>
              <w:rPr>
                <w:b/>
                <w:sz w:val="20"/>
              </w:rPr>
              <w:t>B. HUMAN RESOURCES</w:t>
            </w:r>
          </w:p>
          <w:p w:rsidR="00B73B02" w:rsidRDefault="005F5B25">
            <w:pPr>
              <w:pStyle w:val="TableParagraph"/>
              <w:ind w:left="114"/>
              <w:rPr>
                <w:i/>
                <w:sz w:val="20"/>
              </w:rPr>
            </w:pPr>
            <w:r>
              <w:rPr>
                <w:i/>
                <w:sz w:val="20"/>
              </w:rPr>
              <w:t>2) Setting up the community health teams (CHTs); deployment, supervision and training</w:t>
            </w:r>
          </w:p>
          <w:p w:rsidR="00B73B02" w:rsidRDefault="00B73B02">
            <w:pPr>
              <w:pStyle w:val="TableParagraph"/>
              <w:spacing w:before="2"/>
              <w:rPr>
                <w:rFonts w:ascii="Calibri"/>
                <w:sz w:val="18"/>
              </w:rPr>
            </w:pPr>
          </w:p>
          <w:p w:rsidR="00B73B02" w:rsidRDefault="005F5B25">
            <w:pPr>
              <w:pStyle w:val="TableParagraph"/>
              <w:spacing w:line="242" w:lineRule="auto"/>
              <w:ind w:left="114" w:right="197"/>
              <w:rPr>
                <w:sz w:val="20"/>
              </w:rPr>
            </w:pPr>
            <w:r>
              <w:rPr>
                <w:b/>
                <w:sz w:val="20"/>
              </w:rPr>
              <w:t xml:space="preserve">SO1 and SO2 key interventions: </w:t>
            </w:r>
            <w:r>
              <w:rPr>
                <w:sz w:val="20"/>
              </w:rPr>
              <w:t>1) recruiting additional community level personnel; 2) promoting equitable geographical distribution of the community health workforce; 3) provide high-quality, integrated pre- service and in-service training to all CHT members.</w:t>
            </w:r>
          </w:p>
          <w:p w:rsidR="00B73B02" w:rsidRDefault="00B73B02">
            <w:pPr>
              <w:pStyle w:val="TableParagraph"/>
              <w:spacing w:before="9"/>
              <w:rPr>
                <w:rFonts w:ascii="Calibri"/>
                <w:sz w:val="17"/>
              </w:rPr>
            </w:pPr>
          </w:p>
          <w:p w:rsidR="00B73B02" w:rsidRDefault="005F5B25">
            <w:pPr>
              <w:pStyle w:val="TableParagraph"/>
              <w:spacing w:before="1"/>
              <w:ind w:left="114" w:right="117"/>
              <w:rPr>
                <w:sz w:val="20"/>
              </w:rPr>
            </w:pPr>
            <w:r>
              <w:rPr>
                <w:b/>
                <w:spacing w:val="1"/>
                <w:sz w:val="20"/>
              </w:rPr>
              <w:t xml:space="preserve">Target </w:t>
            </w:r>
            <w:r>
              <w:rPr>
                <w:b/>
                <w:sz w:val="20"/>
              </w:rPr>
              <w:t xml:space="preserve">2022: </w:t>
            </w:r>
            <w:r>
              <w:rPr>
                <w:sz w:val="20"/>
              </w:rPr>
              <w:t xml:space="preserve">Malawi reaches 74% of </w:t>
            </w:r>
            <w:r>
              <w:rPr>
                <w:spacing w:val="-5"/>
                <w:sz w:val="20"/>
              </w:rPr>
              <w:t xml:space="preserve">its </w:t>
            </w:r>
            <w:r>
              <w:rPr>
                <w:sz w:val="20"/>
              </w:rPr>
              <w:t xml:space="preserve">policy recommendation </w:t>
            </w:r>
            <w:r>
              <w:rPr>
                <w:spacing w:val="-4"/>
                <w:sz w:val="20"/>
              </w:rPr>
              <w:t xml:space="preserve">for the </w:t>
            </w:r>
            <w:r>
              <w:rPr>
                <w:sz w:val="20"/>
              </w:rPr>
              <w:t xml:space="preserve">ratio of trained </w:t>
            </w:r>
            <w:r>
              <w:rPr>
                <w:spacing w:val="-3"/>
                <w:sz w:val="20"/>
              </w:rPr>
              <w:t xml:space="preserve">HSAs </w:t>
            </w:r>
            <w:r>
              <w:rPr>
                <w:spacing w:val="-6"/>
                <w:sz w:val="20"/>
              </w:rPr>
              <w:t xml:space="preserve">to </w:t>
            </w:r>
            <w:r>
              <w:rPr>
                <w:spacing w:val="2"/>
                <w:sz w:val="20"/>
              </w:rPr>
              <w:t xml:space="preserve">members </w:t>
            </w:r>
            <w:r>
              <w:rPr>
                <w:sz w:val="20"/>
              </w:rPr>
              <w:t xml:space="preserve">of </w:t>
            </w:r>
            <w:r>
              <w:rPr>
                <w:spacing w:val="-4"/>
                <w:sz w:val="20"/>
              </w:rPr>
              <w:t xml:space="preserve">the </w:t>
            </w:r>
            <w:r>
              <w:rPr>
                <w:sz w:val="20"/>
              </w:rPr>
              <w:t xml:space="preserve">population, and </w:t>
            </w:r>
            <w:r>
              <w:rPr>
                <w:spacing w:val="-3"/>
                <w:sz w:val="20"/>
              </w:rPr>
              <w:t xml:space="preserve">that </w:t>
            </w:r>
            <w:r>
              <w:rPr>
                <w:sz w:val="20"/>
              </w:rPr>
              <w:t xml:space="preserve">75% of </w:t>
            </w:r>
            <w:r>
              <w:rPr>
                <w:spacing w:val="-3"/>
                <w:sz w:val="20"/>
              </w:rPr>
              <w:t xml:space="preserve">HSAs </w:t>
            </w:r>
            <w:r>
              <w:rPr>
                <w:sz w:val="20"/>
              </w:rPr>
              <w:t xml:space="preserve">and </w:t>
            </w:r>
            <w:r>
              <w:rPr>
                <w:spacing w:val="-3"/>
                <w:sz w:val="20"/>
              </w:rPr>
              <w:t xml:space="preserve">SHSAs </w:t>
            </w:r>
            <w:r>
              <w:rPr>
                <w:sz w:val="20"/>
              </w:rPr>
              <w:t xml:space="preserve">are residing in </w:t>
            </w:r>
            <w:r>
              <w:rPr>
                <w:spacing w:val="-3"/>
                <w:sz w:val="20"/>
              </w:rPr>
              <w:t xml:space="preserve">their </w:t>
            </w:r>
            <w:r>
              <w:rPr>
                <w:sz w:val="20"/>
              </w:rPr>
              <w:t>catchment</w:t>
            </w:r>
            <w:r>
              <w:rPr>
                <w:spacing w:val="-7"/>
                <w:sz w:val="20"/>
              </w:rPr>
              <w:t xml:space="preserve"> </w:t>
            </w:r>
            <w:r>
              <w:rPr>
                <w:sz w:val="20"/>
              </w:rPr>
              <w:t>areas.</w:t>
            </w:r>
          </w:p>
        </w:tc>
        <w:tc>
          <w:tcPr>
            <w:tcW w:w="4690" w:type="dxa"/>
            <w:tcBorders>
              <w:top w:val="single" w:sz="6" w:space="0" w:color="000000"/>
              <w:bottom w:val="single" w:sz="6" w:space="0" w:color="000000"/>
            </w:tcBorders>
          </w:tcPr>
          <w:p w:rsidR="00B73B02" w:rsidRDefault="005F5B25">
            <w:pPr>
              <w:pStyle w:val="TableParagraph"/>
              <w:spacing w:line="204" w:lineRule="exact"/>
              <w:ind w:left="117"/>
              <w:rPr>
                <w:sz w:val="20"/>
              </w:rPr>
            </w:pPr>
            <w:r>
              <w:rPr>
                <w:sz w:val="20"/>
              </w:rPr>
              <w:t>CBO/FBOs recruit volunteers from the community. The range</w:t>
            </w:r>
          </w:p>
          <w:p w:rsidR="00B73B02" w:rsidRDefault="005F5B25">
            <w:pPr>
              <w:pStyle w:val="TableParagraph"/>
              <w:ind w:left="117"/>
              <w:rPr>
                <w:sz w:val="20"/>
              </w:rPr>
            </w:pPr>
            <w:r>
              <w:rPr>
                <w:sz w:val="20"/>
              </w:rPr>
              <w:t>of active volunteers was between 20 and 120, among the CBO/FBOs included in our qualitative study</w:t>
            </w:r>
          </w:p>
          <w:p w:rsidR="00B73B02" w:rsidRDefault="00B73B02">
            <w:pPr>
              <w:pStyle w:val="TableParagraph"/>
              <w:spacing w:before="5"/>
              <w:rPr>
                <w:rFonts w:ascii="Calibri"/>
                <w:sz w:val="18"/>
              </w:rPr>
            </w:pPr>
          </w:p>
          <w:p w:rsidR="00B73B02" w:rsidRDefault="005F5B25">
            <w:pPr>
              <w:pStyle w:val="TableParagraph"/>
              <w:ind w:left="117" w:right="25"/>
              <w:rPr>
                <w:sz w:val="20"/>
              </w:rPr>
            </w:pPr>
            <w:r>
              <w:rPr>
                <w:sz w:val="20"/>
              </w:rPr>
              <w:t>As part of their organisational structure, CBO/FBOs have specific volunteers/coordinators elected to lead certain activities e.g. home-based care, patient support-groups (usually this is a co-opted member of one of the HIV support groups). CBO/FBO volunteers also serve in other community leadership postilions.</w:t>
            </w:r>
          </w:p>
          <w:p w:rsidR="00B73B02" w:rsidRDefault="00B73B02">
            <w:pPr>
              <w:pStyle w:val="TableParagraph"/>
              <w:rPr>
                <w:rFonts w:ascii="Calibri"/>
                <w:sz w:val="19"/>
              </w:rPr>
            </w:pPr>
          </w:p>
          <w:p w:rsidR="00B73B02" w:rsidRDefault="005F5B25">
            <w:pPr>
              <w:pStyle w:val="TableParagraph"/>
              <w:spacing w:before="1" w:line="242" w:lineRule="auto"/>
              <w:ind w:left="117" w:right="163"/>
              <w:rPr>
                <w:sz w:val="20"/>
              </w:rPr>
            </w:pPr>
            <w:r>
              <w:rPr>
                <w:sz w:val="20"/>
              </w:rPr>
              <w:t>Volunteers in CBO/FBOs received various training as part of project driven activities. For instance, the majority of volunteers received initial home-based care training (10 days). Some volunteers and coordinators were trained on advanced home-based care, leadership, and financial</w:t>
            </w:r>
          </w:p>
          <w:p w:rsidR="00B73B02" w:rsidRDefault="005F5B25">
            <w:pPr>
              <w:pStyle w:val="TableParagraph"/>
              <w:spacing w:line="237" w:lineRule="auto"/>
              <w:ind w:left="117" w:right="212"/>
              <w:jc w:val="both"/>
              <w:rPr>
                <w:sz w:val="20"/>
              </w:rPr>
            </w:pPr>
            <w:r>
              <w:rPr>
                <w:sz w:val="20"/>
              </w:rPr>
              <w:t>management. Some volunteers were trained on HIV testing, and were later co-opted as HIV testing assistants in nearby health facilities.</w:t>
            </w:r>
          </w:p>
        </w:tc>
        <w:tc>
          <w:tcPr>
            <w:tcW w:w="3688" w:type="dxa"/>
            <w:tcBorders>
              <w:top w:val="single" w:sz="6" w:space="0" w:color="000000"/>
              <w:bottom w:val="single" w:sz="6" w:space="0" w:color="000000"/>
            </w:tcBorders>
          </w:tcPr>
          <w:p w:rsidR="00B73B02" w:rsidRDefault="005F5B25">
            <w:pPr>
              <w:pStyle w:val="TableParagraph"/>
              <w:spacing w:line="204" w:lineRule="exact"/>
              <w:ind w:left="110"/>
              <w:rPr>
                <w:sz w:val="20"/>
              </w:rPr>
            </w:pPr>
            <w:r>
              <w:rPr>
                <w:sz w:val="20"/>
              </w:rPr>
              <w:t>In 2017, the district had 224 HSAs serving</w:t>
            </w:r>
          </w:p>
          <w:p w:rsidR="00B73B02" w:rsidRDefault="005F5B25">
            <w:pPr>
              <w:pStyle w:val="TableParagraph"/>
              <w:ind w:left="110"/>
              <w:rPr>
                <w:sz w:val="20"/>
              </w:rPr>
            </w:pPr>
            <w:r>
              <w:rPr>
                <w:sz w:val="20"/>
              </w:rPr>
              <w:t>393,587 residents, which is below the recommended target of 1 HSA to serve 1000 people.</w:t>
            </w:r>
          </w:p>
          <w:p w:rsidR="00B73B02" w:rsidRDefault="00B73B02">
            <w:pPr>
              <w:pStyle w:val="TableParagraph"/>
              <w:spacing w:before="4"/>
              <w:rPr>
                <w:rFonts w:ascii="Calibri"/>
                <w:sz w:val="18"/>
              </w:rPr>
            </w:pPr>
          </w:p>
          <w:p w:rsidR="00B73B02" w:rsidRDefault="005F5B25">
            <w:pPr>
              <w:pStyle w:val="TableParagraph"/>
              <w:spacing w:line="242" w:lineRule="auto"/>
              <w:ind w:left="110" w:right="115"/>
              <w:rPr>
                <w:sz w:val="20"/>
              </w:rPr>
            </w:pPr>
            <w:r>
              <w:rPr>
                <w:sz w:val="20"/>
              </w:rPr>
              <w:t xml:space="preserve">According </w:t>
            </w:r>
            <w:r>
              <w:rPr>
                <w:spacing w:val="-6"/>
                <w:sz w:val="20"/>
              </w:rPr>
              <w:t xml:space="preserve">to </w:t>
            </w:r>
            <w:r>
              <w:rPr>
                <w:spacing w:val="-4"/>
                <w:sz w:val="20"/>
              </w:rPr>
              <w:t xml:space="preserve">the </w:t>
            </w:r>
            <w:r>
              <w:rPr>
                <w:sz w:val="20"/>
              </w:rPr>
              <w:t xml:space="preserve">national CHBC guidelines, CBO/FBO volunteers are required </w:t>
            </w:r>
            <w:r>
              <w:rPr>
                <w:spacing w:val="-6"/>
                <w:sz w:val="20"/>
              </w:rPr>
              <w:t xml:space="preserve">to </w:t>
            </w:r>
            <w:r>
              <w:rPr>
                <w:spacing w:val="-4"/>
                <w:sz w:val="20"/>
              </w:rPr>
              <w:t xml:space="preserve">coordinate </w:t>
            </w:r>
            <w:r>
              <w:rPr>
                <w:spacing w:val="-3"/>
                <w:sz w:val="20"/>
              </w:rPr>
              <w:t xml:space="preserve">their activities </w:t>
            </w:r>
            <w:r>
              <w:rPr>
                <w:spacing w:val="-7"/>
                <w:sz w:val="20"/>
              </w:rPr>
              <w:t xml:space="preserve">with </w:t>
            </w:r>
            <w:r>
              <w:rPr>
                <w:sz w:val="20"/>
              </w:rPr>
              <w:t xml:space="preserve">HSAs. The link </w:t>
            </w:r>
            <w:r>
              <w:rPr>
                <w:spacing w:val="-3"/>
                <w:sz w:val="20"/>
              </w:rPr>
              <w:t xml:space="preserve">between HSAs </w:t>
            </w:r>
            <w:r>
              <w:rPr>
                <w:sz w:val="20"/>
              </w:rPr>
              <w:t xml:space="preserve">and CBO/FBOs </w:t>
            </w:r>
            <w:r>
              <w:rPr>
                <w:spacing w:val="-4"/>
                <w:sz w:val="20"/>
              </w:rPr>
              <w:t xml:space="preserve">was </w:t>
            </w:r>
            <w:r>
              <w:rPr>
                <w:sz w:val="20"/>
              </w:rPr>
              <w:t xml:space="preserve">reported as </w:t>
            </w:r>
            <w:r>
              <w:rPr>
                <w:spacing w:val="-3"/>
                <w:sz w:val="20"/>
              </w:rPr>
              <w:t xml:space="preserve">weak </w:t>
            </w:r>
            <w:r>
              <w:rPr>
                <w:sz w:val="20"/>
              </w:rPr>
              <w:t>or non-existent.</w:t>
            </w:r>
          </w:p>
          <w:p w:rsidR="00B73B02" w:rsidRDefault="00B73B02">
            <w:pPr>
              <w:pStyle w:val="TableParagraph"/>
              <w:spacing w:before="2"/>
              <w:rPr>
                <w:rFonts w:ascii="Calibri"/>
                <w:sz w:val="18"/>
              </w:rPr>
            </w:pPr>
          </w:p>
          <w:p w:rsidR="00B73B02" w:rsidRDefault="005F5B25">
            <w:pPr>
              <w:pStyle w:val="TableParagraph"/>
              <w:ind w:left="110"/>
              <w:rPr>
                <w:sz w:val="20"/>
              </w:rPr>
            </w:pPr>
            <w:r>
              <w:rPr>
                <w:sz w:val="20"/>
              </w:rPr>
              <w:t>Most of the CBO/FBO volunteers reported the need for training in the management of other chronic conditions e.g. hypertension, epilepsy, cancer, and diabetes.</w:t>
            </w:r>
          </w:p>
        </w:tc>
        <w:tc>
          <w:tcPr>
            <w:tcW w:w="4732" w:type="dxa"/>
            <w:tcBorders>
              <w:top w:val="single" w:sz="6" w:space="0" w:color="000000"/>
              <w:bottom w:val="single" w:sz="6" w:space="0" w:color="000000"/>
            </w:tcBorders>
          </w:tcPr>
          <w:p w:rsidR="00B73B02" w:rsidRDefault="005F5B25">
            <w:pPr>
              <w:pStyle w:val="TableParagraph"/>
              <w:spacing w:line="204" w:lineRule="exact"/>
              <w:ind w:left="109"/>
              <w:rPr>
                <w:sz w:val="20"/>
              </w:rPr>
            </w:pPr>
            <w:r>
              <w:rPr>
                <w:sz w:val="20"/>
              </w:rPr>
              <w:t>The strategy recommends that district authorities are</w:t>
            </w:r>
          </w:p>
          <w:p w:rsidR="00B73B02" w:rsidRDefault="005F5B25">
            <w:pPr>
              <w:pStyle w:val="TableParagraph"/>
              <w:ind w:left="109"/>
              <w:rPr>
                <w:sz w:val="20"/>
              </w:rPr>
            </w:pPr>
            <w:r>
              <w:rPr>
                <w:sz w:val="20"/>
              </w:rPr>
              <w:t>responsible for, and take ownership of health personnel recruitment and deployment strategies to reflect district needs and context.</w:t>
            </w:r>
          </w:p>
          <w:p w:rsidR="00B73B02" w:rsidRDefault="00B73B02">
            <w:pPr>
              <w:pStyle w:val="TableParagraph"/>
              <w:spacing w:before="4"/>
              <w:rPr>
                <w:rFonts w:ascii="Calibri"/>
                <w:sz w:val="18"/>
              </w:rPr>
            </w:pPr>
          </w:p>
          <w:p w:rsidR="00B73B02" w:rsidRDefault="005F5B25">
            <w:pPr>
              <w:pStyle w:val="TableParagraph"/>
              <w:ind w:left="109" w:right="148"/>
              <w:rPr>
                <w:sz w:val="20"/>
              </w:rPr>
            </w:pPr>
            <w:r>
              <w:rPr>
                <w:sz w:val="20"/>
              </w:rPr>
              <w:t>The strategy proposes training of CHTs on integrated service delivery. This will be through development and rolling out of an integrated government-led training programme for all CHT members. However, it is important to find mechanisms to include capacity building for CHVs in volunteer-led programmes supporting community health</w:t>
            </w:r>
          </w:p>
          <w:p w:rsidR="00B73B02" w:rsidRDefault="00B73B02">
            <w:pPr>
              <w:pStyle w:val="TableParagraph"/>
              <w:rPr>
                <w:rFonts w:ascii="Calibri"/>
                <w:sz w:val="19"/>
              </w:rPr>
            </w:pPr>
          </w:p>
          <w:p w:rsidR="00B73B02" w:rsidRDefault="005F5B25">
            <w:pPr>
              <w:pStyle w:val="TableParagraph"/>
              <w:spacing w:before="1" w:line="242" w:lineRule="auto"/>
              <w:ind w:left="109" w:right="148"/>
              <w:rPr>
                <w:sz w:val="20"/>
              </w:rPr>
            </w:pPr>
            <w:r>
              <w:rPr>
                <w:sz w:val="20"/>
              </w:rPr>
              <w:t>Furthermore, the strategy recommends CHTs should benefit from peer-learning, working collaboratively to deliver services rather than operate in silos, strengthen referral mechanism and reinforce regular clinical monitoring, performance</w:t>
            </w:r>
          </w:p>
          <w:p w:rsidR="00B73B02" w:rsidRDefault="005F5B25">
            <w:pPr>
              <w:pStyle w:val="TableParagraph"/>
              <w:spacing w:line="227" w:lineRule="exact"/>
              <w:ind w:left="109"/>
              <w:rPr>
                <w:sz w:val="20"/>
              </w:rPr>
            </w:pPr>
            <w:r>
              <w:rPr>
                <w:sz w:val="20"/>
              </w:rPr>
              <w:t>management and supportive supervision.</w:t>
            </w:r>
          </w:p>
          <w:p w:rsidR="00B73B02" w:rsidRDefault="00B73B02">
            <w:pPr>
              <w:pStyle w:val="TableParagraph"/>
              <w:spacing w:before="7"/>
              <w:rPr>
                <w:rFonts w:ascii="Calibri"/>
                <w:sz w:val="18"/>
              </w:rPr>
            </w:pPr>
          </w:p>
          <w:p w:rsidR="00B73B02" w:rsidRDefault="005F5B25">
            <w:pPr>
              <w:pStyle w:val="TableParagraph"/>
              <w:ind w:left="109"/>
              <w:rPr>
                <w:sz w:val="20"/>
              </w:rPr>
            </w:pPr>
            <w:r>
              <w:rPr>
                <w:sz w:val="20"/>
              </w:rPr>
              <w:t>Workload management: a possible alternative is to co-opt trained CHVs from the existing network of volunteer programmes into CHTs. In redistributing tasks, CHVs could continue supporting with health promotion and home-tracing activities, since they are embedded in communities, while available HSAs support with outreach activities, and other specialised tasks highlighted in the list of community-level</w:t>
            </w:r>
          </w:p>
        </w:tc>
      </w:tr>
    </w:tbl>
    <w:p w:rsidR="00B73B02" w:rsidRDefault="00B73B02">
      <w:pPr>
        <w:rPr>
          <w:sz w:val="20"/>
        </w:rPr>
        <w:sectPr w:rsidR="00B73B02">
          <w:footerReference w:type="default" r:id="rId8"/>
          <w:pgSz w:w="16840" w:h="11910" w:orient="landscape"/>
          <w:pgMar w:top="720" w:right="500" w:bottom="1100" w:left="500" w:header="0" w:footer="915" w:gutter="0"/>
          <w:pgNumType w:start="2"/>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2526"/>
        <w:gridCol w:w="4682"/>
        <w:gridCol w:w="3686"/>
        <w:gridCol w:w="4735"/>
      </w:tblGrid>
      <w:tr w:rsidR="00B73B02">
        <w:trPr>
          <w:trHeight w:val="893"/>
        </w:trPr>
        <w:tc>
          <w:tcPr>
            <w:tcW w:w="2526"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4"/>
              <w:rPr>
                <w:b/>
                <w:sz w:val="20"/>
              </w:rPr>
            </w:pPr>
            <w:r>
              <w:rPr>
                <w:b/>
                <w:sz w:val="20"/>
              </w:rPr>
              <w:lastRenderedPageBreak/>
              <w:t>National Community Health</w:t>
            </w:r>
          </w:p>
          <w:p w:rsidR="00B73B02" w:rsidRDefault="005F5B25">
            <w:pPr>
              <w:pStyle w:val="TableParagraph"/>
              <w:spacing w:line="228" w:lineRule="exact"/>
              <w:ind w:left="114"/>
              <w:rPr>
                <w:b/>
                <w:sz w:val="20"/>
              </w:rPr>
            </w:pPr>
            <w:r>
              <w:rPr>
                <w:b/>
                <w:sz w:val="20"/>
              </w:rPr>
              <w:t>Strategy</w:t>
            </w:r>
          </w:p>
          <w:p w:rsidR="00B73B02" w:rsidRDefault="005F5B25">
            <w:pPr>
              <w:pStyle w:val="TableParagraph"/>
              <w:numPr>
                <w:ilvl w:val="0"/>
                <w:numId w:val="4"/>
              </w:numPr>
              <w:tabs>
                <w:tab w:val="left" w:pos="259"/>
              </w:tabs>
              <w:spacing w:line="228" w:lineRule="exact"/>
              <w:rPr>
                <w:b/>
                <w:sz w:val="20"/>
              </w:rPr>
            </w:pPr>
            <w:r>
              <w:rPr>
                <w:b/>
                <w:sz w:val="20"/>
              </w:rPr>
              <w:t xml:space="preserve">6 </w:t>
            </w:r>
            <w:r>
              <w:rPr>
                <w:b/>
                <w:spacing w:val="1"/>
                <w:sz w:val="20"/>
              </w:rPr>
              <w:t xml:space="preserve">strategic </w:t>
            </w:r>
            <w:r>
              <w:rPr>
                <w:b/>
                <w:sz w:val="20"/>
              </w:rPr>
              <w:t>objectives</w:t>
            </w:r>
            <w:r>
              <w:rPr>
                <w:b/>
                <w:spacing w:val="-22"/>
                <w:sz w:val="20"/>
              </w:rPr>
              <w:t xml:space="preserve"> </w:t>
            </w:r>
            <w:r>
              <w:rPr>
                <w:b/>
                <w:sz w:val="20"/>
              </w:rPr>
              <w:t>(SO)</w:t>
            </w:r>
          </w:p>
          <w:p w:rsidR="00B73B02" w:rsidRDefault="005F5B25">
            <w:pPr>
              <w:pStyle w:val="TableParagraph"/>
              <w:numPr>
                <w:ilvl w:val="0"/>
                <w:numId w:val="4"/>
              </w:numPr>
              <w:tabs>
                <w:tab w:val="left" w:pos="259"/>
              </w:tabs>
              <w:spacing w:line="229" w:lineRule="exact"/>
              <w:rPr>
                <w:b/>
                <w:sz w:val="20"/>
              </w:rPr>
            </w:pPr>
            <w:r>
              <w:rPr>
                <w:b/>
                <w:sz w:val="20"/>
              </w:rPr>
              <w:t xml:space="preserve">6 </w:t>
            </w:r>
            <w:r>
              <w:rPr>
                <w:b/>
                <w:spacing w:val="1"/>
                <w:sz w:val="20"/>
              </w:rPr>
              <w:t xml:space="preserve">guiding </w:t>
            </w:r>
            <w:r>
              <w:rPr>
                <w:b/>
                <w:spacing w:val="-3"/>
                <w:sz w:val="20"/>
              </w:rPr>
              <w:t>principles</w:t>
            </w:r>
            <w:r>
              <w:rPr>
                <w:b/>
                <w:spacing w:val="-6"/>
                <w:sz w:val="20"/>
              </w:rPr>
              <w:t xml:space="preserve"> </w:t>
            </w:r>
            <w:r>
              <w:rPr>
                <w:b/>
                <w:sz w:val="20"/>
              </w:rPr>
              <w:t>(GP)</w:t>
            </w:r>
          </w:p>
        </w:tc>
        <w:tc>
          <w:tcPr>
            <w:tcW w:w="4682"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0"/>
              <w:rPr>
                <w:b/>
                <w:i/>
                <w:sz w:val="20"/>
              </w:rPr>
            </w:pPr>
            <w:r>
              <w:rPr>
                <w:b/>
                <w:i/>
                <w:sz w:val="20"/>
              </w:rPr>
              <w:t>Synthesis of data from research on community home-</w:t>
            </w:r>
          </w:p>
          <w:p w:rsidR="00B73B02" w:rsidRDefault="005F5B25">
            <w:pPr>
              <w:pStyle w:val="TableParagraph"/>
              <w:ind w:left="110" w:right="183"/>
              <w:rPr>
                <w:b/>
                <w:i/>
                <w:sz w:val="20"/>
              </w:rPr>
            </w:pPr>
            <w:r>
              <w:rPr>
                <w:b/>
                <w:i/>
                <w:sz w:val="20"/>
              </w:rPr>
              <w:t>based care programmes role in chronic care in Phalombe district, Malawi</w:t>
            </w:r>
          </w:p>
        </w:tc>
        <w:tc>
          <w:tcPr>
            <w:tcW w:w="3686"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1"/>
              <w:rPr>
                <w:b/>
                <w:sz w:val="20"/>
              </w:rPr>
            </w:pPr>
            <w:r>
              <w:rPr>
                <w:b/>
                <w:sz w:val="20"/>
              </w:rPr>
              <w:t>What are the current gaps in the strategy</w:t>
            </w:r>
          </w:p>
          <w:p w:rsidR="00B73B02" w:rsidRDefault="005F5B25">
            <w:pPr>
              <w:pStyle w:val="TableParagraph"/>
              <w:spacing w:line="229" w:lineRule="exact"/>
              <w:ind w:left="111"/>
              <w:rPr>
                <w:b/>
                <w:i/>
                <w:sz w:val="20"/>
              </w:rPr>
            </w:pPr>
            <w:r>
              <w:rPr>
                <w:b/>
                <w:sz w:val="20"/>
              </w:rPr>
              <w:t xml:space="preserve">- </w:t>
            </w:r>
            <w:r>
              <w:rPr>
                <w:b/>
                <w:i/>
                <w:sz w:val="20"/>
              </w:rPr>
              <w:t>challenges for implementation</w:t>
            </w:r>
          </w:p>
        </w:tc>
        <w:tc>
          <w:tcPr>
            <w:tcW w:w="4735"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2"/>
              <w:rPr>
                <w:b/>
                <w:i/>
                <w:sz w:val="20"/>
              </w:rPr>
            </w:pPr>
            <w:r>
              <w:rPr>
                <w:b/>
                <w:i/>
                <w:sz w:val="20"/>
              </w:rPr>
              <w:t>Recommendations and opportunities to explore</w:t>
            </w:r>
          </w:p>
          <w:p w:rsidR="00B73B02" w:rsidRDefault="005F5B25">
            <w:pPr>
              <w:pStyle w:val="TableParagraph"/>
              <w:spacing w:line="229" w:lineRule="exact"/>
              <w:ind w:left="112"/>
              <w:rPr>
                <w:b/>
                <w:i/>
                <w:sz w:val="20"/>
              </w:rPr>
            </w:pPr>
            <w:r>
              <w:rPr>
                <w:b/>
                <w:i/>
                <w:sz w:val="20"/>
              </w:rPr>
              <w:t>- as stated in the strategy and research synthesis</w:t>
            </w:r>
          </w:p>
        </w:tc>
      </w:tr>
      <w:tr w:rsidR="00B73B02">
        <w:trPr>
          <w:trHeight w:val="248"/>
        </w:trPr>
        <w:tc>
          <w:tcPr>
            <w:tcW w:w="2526" w:type="dxa"/>
            <w:tcBorders>
              <w:top w:val="single" w:sz="6" w:space="0" w:color="000000"/>
              <w:bottom w:val="single" w:sz="6" w:space="0" w:color="000000"/>
            </w:tcBorders>
          </w:tcPr>
          <w:p w:rsidR="00B73B02" w:rsidRDefault="00B73B02">
            <w:pPr>
              <w:pStyle w:val="TableParagraph"/>
              <w:rPr>
                <w:rFonts w:ascii="Times New Roman"/>
                <w:sz w:val="18"/>
              </w:rPr>
            </w:pPr>
          </w:p>
        </w:tc>
        <w:tc>
          <w:tcPr>
            <w:tcW w:w="4682" w:type="dxa"/>
            <w:tcBorders>
              <w:top w:val="single" w:sz="6" w:space="0" w:color="000000"/>
              <w:bottom w:val="single" w:sz="6" w:space="0" w:color="000000"/>
            </w:tcBorders>
          </w:tcPr>
          <w:p w:rsidR="00B73B02" w:rsidRDefault="00B73B02">
            <w:pPr>
              <w:pStyle w:val="TableParagraph"/>
              <w:rPr>
                <w:rFonts w:ascii="Times New Roman"/>
                <w:sz w:val="18"/>
              </w:rPr>
            </w:pPr>
          </w:p>
        </w:tc>
        <w:tc>
          <w:tcPr>
            <w:tcW w:w="3686" w:type="dxa"/>
            <w:tcBorders>
              <w:top w:val="single" w:sz="6" w:space="0" w:color="000000"/>
              <w:bottom w:val="single" w:sz="6" w:space="0" w:color="000000"/>
            </w:tcBorders>
          </w:tcPr>
          <w:p w:rsidR="00B73B02" w:rsidRDefault="00B73B02">
            <w:pPr>
              <w:pStyle w:val="TableParagraph"/>
              <w:rPr>
                <w:rFonts w:ascii="Times New Roman"/>
                <w:sz w:val="18"/>
              </w:rPr>
            </w:pPr>
          </w:p>
        </w:tc>
        <w:tc>
          <w:tcPr>
            <w:tcW w:w="4735" w:type="dxa"/>
            <w:tcBorders>
              <w:top w:val="single" w:sz="6" w:space="0" w:color="000000"/>
              <w:bottom w:val="single" w:sz="6" w:space="0" w:color="000000"/>
            </w:tcBorders>
          </w:tcPr>
          <w:p w:rsidR="00B73B02" w:rsidRDefault="005F5B25">
            <w:pPr>
              <w:pStyle w:val="TableParagraph"/>
              <w:spacing w:line="206" w:lineRule="exact"/>
              <w:ind w:left="112"/>
              <w:rPr>
                <w:sz w:val="20"/>
              </w:rPr>
            </w:pPr>
            <w:r>
              <w:rPr>
                <w:sz w:val="20"/>
              </w:rPr>
              <w:t>essential health package interventions.</w:t>
            </w:r>
          </w:p>
        </w:tc>
      </w:tr>
      <w:tr w:rsidR="00B73B02">
        <w:trPr>
          <w:trHeight w:val="6195"/>
        </w:trPr>
        <w:tc>
          <w:tcPr>
            <w:tcW w:w="2526" w:type="dxa"/>
            <w:tcBorders>
              <w:top w:val="single" w:sz="6" w:space="0" w:color="000000"/>
              <w:bottom w:val="single" w:sz="6" w:space="0" w:color="000000"/>
            </w:tcBorders>
          </w:tcPr>
          <w:p w:rsidR="00B73B02" w:rsidRDefault="005F5B25">
            <w:pPr>
              <w:pStyle w:val="TableParagraph"/>
              <w:spacing w:line="204" w:lineRule="exact"/>
              <w:ind w:left="114"/>
              <w:rPr>
                <w:b/>
                <w:sz w:val="20"/>
              </w:rPr>
            </w:pPr>
            <w:r>
              <w:rPr>
                <w:b/>
                <w:sz w:val="20"/>
              </w:rPr>
              <w:t>C. HEALTH SERVICES</w:t>
            </w:r>
          </w:p>
          <w:p w:rsidR="00B73B02" w:rsidRDefault="005F5B25">
            <w:pPr>
              <w:pStyle w:val="TableParagraph"/>
              <w:ind w:left="114" w:right="107"/>
              <w:rPr>
                <w:sz w:val="20"/>
              </w:rPr>
            </w:pPr>
            <w:r>
              <w:rPr>
                <w:b/>
                <w:sz w:val="20"/>
              </w:rPr>
              <w:t xml:space="preserve">SO1 key Interventions: </w:t>
            </w:r>
            <w:r>
              <w:rPr>
                <w:sz w:val="20"/>
              </w:rPr>
              <w:t xml:space="preserve">1) Scaling up integrated delivery of </w:t>
            </w:r>
            <w:r>
              <w:rPr>
                <w:spacing w:val="-4"/>
                <w:sz w:val="20"/>
              </w:rPr>
              <w:t xml:space="preserve">the </w:t>
            </w:r>
            <w:r>
              <w:rPr>
                <w:sz w:val="20"/>
              </w:rPr>
              <w:t xml:space="preserve">essential health package interventions at community level; 2) roll out of CHTs </w:t>
            </w:r>
            <w:r>
              <w:rPr>
                <w:spacing w:val="-7"/>
                <w:sz w:val="20"/>
              </w:rPr>
              <w:t xml:space="preserve">with </w:t>
            </w:r>
            <w:r>
              <w:rPr>
                <w:sz w:val="20"/>
              </w:rPr>
              <w:t xml:space="preserve">clear job descriptions, </w:t>
            </w:r>
            <w:r>
              <w:rPr>
                <w:spacing w:val="-4"/>
                <w:sz w:val="20"/>
              </w:rPr>
              <w:t xml:space="preserve">for </w:t>
            </w:r>
            <w:r>
              <w:rPr>
                <w:sz w:val="20"/>
              </w:rPr>
              <w:t>all community health worker</w:t>
            </w:r>
            <w:r>
              <w:rPr>
                <w:spacing w:val="5"/>
                <w:sz w:val="20"/>
              </w:rPr>
              <w:t xml:space="preserve"> </w:t>
            </w:r>
            <w:r>
              <w:rPr>
                <w:sz w:val="20"/>
              </w:rPr>
              <w:t>cadre</w:t>
            </w:r>
          </w:p>
          <w:p w:rsidR="00B73B02" w:rsidRDefault="00B73B02">
            <w:pPr>
              <w:pStyle w:val="TableParagraph"/>
              <w:spacing w:before="10"/>
              <w:rPr>
                <w:rFonts w:ascii="Calibri"/>
                <w:sz w:val="18"/>
              </w:rPr>
            </w:pPr>
          </w:p>
          <w:p w:rsidR="00B73B02" w:rsidRDefault="005F5B25">
            <w:pPr>
              <w:pStyle w:val="TableParagraph"/>
              <w:spacing w:before="1" w:line="242" w:lineRule="auto"/>
              <w:ind w:left="114"/>
              <w:rPr>
                <w:sz w:val="20"/>
              </w:rPr>
            </w:pPr>
            <w:r>
              <w:rPr>
                <w:b/>
                <w:sz w:val="20"/>
              </w:rPr>
              <w:t xml:space="preserve">Target 2022: </w:t>
            </w:r>
            <w:r>
              <w:rPr>
                <w:sz w:val="20"/>
              </w:rPr>
              <w:t xml:space="preserve">75% of HSAs deliver the majority of the community com </w:t>
            </w:r>
            <w:proofErr w:type="spellStart"/>
            <w:r>
              <w:rPr>
                <w:sz w:val="20"/>
              </w:rPr>
              <w:t>ponents</w:t>
            </w:r>
            <w:proofErr w:type="spellEnd"/>
            <w:r>
              <w:rPr>
                <w:sz w:val="20"/>
              </w:rPr>
              <w:t xml:space="preserve"> of the essential health package interventions.</w:t>
            </w:r>
          </w:p>
        </w:tc>
        <w:tc>
          <w:tcPr>
            <w:tcW w:w="4682" w:type="dxa"/>
            <w:tcBorders>
              <w:top w:val="single" w:sz="6" w:space="0" w:color="000000"/>
              <w:bottom w:val="single" w:sz="6" w:space="0" w:color="000000"/>
            </w:tcBorders>
          </w:tcPr>
          <w:p w:rsidR="00B73B02" w:rsidRDefault="005F5B25">
            <w:pPr>
              <w:pStyle w:val="TableParagraph"/>
              <w:spacing w:line="204" w:lineRule="exact"/>
              <w:ind w:left="110"/>
              <w:rPr>
                <w:sz w:val="20"/>
              </w:rPr>
            </w:pPr>
            <w:r>
              <w:rPr>
                <w:sz w:val="20"/>
              </w:rPr>
              <w:t>CBO/FBOs thematic areas include: 1) HIV/AIDS care; 2)</w:t>
            </w:r>
          </w:p>
          <w:p w:rsidR="00B73B02" w:rsidRDefault="005F5B25">
            <w:pPr>
              <w:pStyle w:val="TableParagraph"/>
              <w:ind w:left="110" w:right="14"/>
              <w:rPr>
                <w:sz w:val="20"/>
              </w:rPr>
            </w:pPr>
            <w:r>
              <w:rPr>
                <w:sz w:val="20"/>
              </w:rPr>
              <w:t>home-based care; 3) safe motherhood; 4) hygiene and sanitation; 5) elderly and disabled persons care; 6) orphans and vulnerable children care; 7) support community-based childcare centres; 8) human and child rights; 9) youth; 10) gender; 11) environment/climate change and agriculture; 12) livelihood support through income-generating activities</w:t>
            </w:r>
          </w:p>
          <w:p w:rsidR="00B73B02" w:rsidRDefault="00B73B02">
            <w:pPr>
              <w:pStyle w:val="TableParagraph"/>
              <w:rPr>
                <w:rFonts w:ascii="Calibri"/>
                <w:sz w:val="19"/>
              </w:rPr>
            </w:pPr>
          </w:p>
          <w:p w:rsidR="00B73B02" w:rsidRDefault="005F5B25">
            <w:pPr>
              <w:pStyle w:val="TableParagraph"/>
              <w:ind w:left="110" w:right="183"/>
              <w:rPr>
                <w:sz w:val="20"/>
              </w:rPr>
            </w:pPr>
            <w:r>
              <w:rPr>
                <w:spacing w:val="-6"/>
                <w:sz w:val="20"/>
              </w:rPr>
              <w:t xml:space="preserve">In </w:t>
            </w:r>
            <w:r>
              <w:rPr>
                <w:spacing w:val="3"/>
                <w:sz w:val="20"/>
              </w:rPr>
              <w:t xml:space="preserve">some </w:t>
            </w:r>
            <w:r>
              <w:rPr>
                <w:sz w:val="20"/>
              </w:rPr>
              <w:t xml:space="preserve">of </w:t>
            </w:r>
            <w:r>
              <w:rPr>
                <w:spacing w:val="-4"/>
                <w:sz w:val="20"/>
              </w:rPr>
              <w:t xml:space="preserve">the </w:t>
            </w:r>
            <w:r>
              <w:rPr>
                <w:sz w:val="20"/>
              </w:rPr>
              <w:t xml:space="preserve">CBOs/FBOs, </w:t>
            </w:r>
            <w:r>
              <w:rPr>
                <w:spacing w:val="-3"/>
                <w:sz w:val="20"/>
              </w:rPr>
              <w:t xml:space="preserve">they </w:t>
            </w:r>
            <w:r>
              <w:rPr>
                <w:sz w:val="20"/>
              </w:rPr>
              <w:t xml:space="preserve">had realigned </w:t>
            </w:r>
            <w:r>
              <w:rPr>
                <w:spacing w:val="-3"/>
                <w:sz w:val="20"/>
              </w:rPr>
              <w:t xml:space="preserve">their </w:t>
            </w:r>
            <w:r>
              <w:rPr>
                <w:sz w:val="20"/>
              </w:rPr>
              <w:t xml:space="preserve">mission statement and objectives </w:t>
            </w:r>
            <w:r>
              <w:rPr>
                <w:spacing w:val="-6"/>
                <w:sz w:val="20"/>
              </w:rPr>
              <w:t xml:space="preserve">to </w:t>
            </w:r>
            <w:r>
              <w:rPr>
                <w:sz w:val="20"/>
              </w:rPr>
              <w:t xml:space="preserve">address </w:t>
            </w:r>
            <w:r>
              <w:rPr>
                <w:spacing w:val="-4"/>
                <w:sz w:val="20"/>
              </w:rPr>
              <w:t xml:space="preserve">the HIV  </w:t>
            </w:r>
            <w:r>
              <w:rPr>
                <w:spacing w:val="1"/>
                <w:sz w:val="20"/>
              </w:rPr>
              <w:t xml:space="preserve">90-90-90 </w:t>
            </w:r>
            <w:r>
              <w:rPr>
                <w:spacing w:val="-3"/>
                <w:sz w:val="20"/>
              </w:rPr>
              <w:t xml:space="preserve">targets </w:t>
            </w:r>
            <w:r>
              <w:rPr>
                <w:sz w:val="20"/>
              </w:rPr>
              <w:t xml:space="preserve">through community awareness </w:t>
            </w:r>
            <w:r>
              <w:rPr>
                <w:spacing w:val="-6"/>
                <w:sz w:val="20"/>
              </w:rPr>
              <w:t xml:space="preserve">to  </w:t>
            </w:r>
            <w:r>
              <w:rPr>
                <w:sz w:val="20"/>
              </w:rPr>
              <w:t xml:space="preserve">increase </w:t>
            </w:r>
            <w:r>
              <w:rPr>
                <w:spacing w:val="-4"/>
                <w:sz w:val="20"/>
              </w:rPr>
              <w:t xml:space="preserve">HIV testing </w:t>
            </w:r>
            <w:r>
              <w:rPr>
                <w:sz w:val="20"/>
              </w:rPr>
              <w:t xml:space="preserve">and early </w:t>
            </w:r>
            <w:r>
              <w:rPr>
                <w:spacing w:val="-3"/>
                <w:sz w:val="20"/>
              </w:rPr>
              <w:t xml:space="preserve">initiation </w:t>
            </w:r>
            <w:r>
              <w:rPr>
                <w:spacing w:val="-6"/>
                <w:sz w:val="20"/>
              </w:rPr>
              <w:t>to</w:t>
            </w:r>
            <w:r>
              <w:rPr>
                <w:spacing w:val="-1"/>
                <w:sz w:val="20"/>
              </w:rPr>
              <w:t xml:space="preserve"> </w:t>
            </w:r>
            <w:r>
              <w:rPr>
                <w:sz w:val="20"/>
              </w:rPr>
              <w:t>treatment.</w:t>
            </w:r>
          </w:p>
          <w:p w:rsidR="00B73B02" w:rsidRDefault="00B73B02">
            <w:pPr>
              <w:pStyle w:val="TableParagraph"/>
              <w:spacing w:before="3"/>
              <w:rPr>
                <w:rFonts w:ascii="Calibri"/>
                <w:sz w:val="19"/>
              </w:rPr>
            </w:pPr>
          </w:p>
          <w:p w:rsidR="00B73B02" w:rsidRDefault="005F5B25">
            <w:pPr>
              <w:pStyle w:val="TableParagraph"/>
              <w:ind w:left="110" w:right="14"/>
              <w:rPr>
                <w:sz w:val="20"/>
              </w:rPr>
            </w:pPr>
            <w:r>
              <w:rPr>
                <w:sz w:val="20"/>
              </w:rPr>
              <w:t>The majority of CBO/FBOs provide home-based care to patients living with chronic conditions. This includes support with domestic chores, counselling, spiritual guidance, basic nursing, identify and refer patients requiring medical attention to health facilities.</w:t>
            </w:r>
          </w:p>
          <w:p w:rsidR="00B73B02" w:rsidRDefault="00B73B02">
            <w:pPr>
              <w:pStyle w:val="TableParagraph"/>
              <w:spacing w:before="2"/>
              <w:rPr>
                <w:rFonts w:ascii="Calibri"/>
                <w:sz w:val="18"/>
              </w:rPr>
            </w:pPr>
          </w:p>
          <w:p w:rsidR="00B73B02" w:rsidRDefault="005F5B25">
            <w:pPr>
              <w:pStyle w:val="TableParagraph"/>
              <w:ind w:left="110" w:right="129"/>
              <w:rPr>
                <w:sz w:val="20"/>
              </w:rPr>
            </w:pPr>
            <w:r>
              <w:rPr>
                <w:sz w:val="20"/>
              </w:rPr>
              <w:t>In a previous pilot project on capacity building CBO/FBOs, volunteers used to provide essential drugs from the</w:t>
            </w:r>
            <w:r w:rsidR="00176BFF">
              <w:rPr>
                <w:sz w:val="20"/>
              </w:rPr>
              <w:t>ir</w:t>
            </w:r>
            <w:r>
              <w:rPr>
                <w:sz w:val="20"/>
              </w:rPr>
              <w:t xml:space="preserve"> home- based care kits, and with the presence of a drug revolving fund, they used to procure and provide anti-epileptic drugs. However, this stopped once the project ended. Patients were able to meet their medical needs (due to consistent supply of some drugs). The CBO/FBOs were supplied with blood- pressure monitoring machines for community screening.</w:t>
            </w:r>
          </w:p>
        </w:tc>
        <w:tc>
          <w:tcPr>
            <w:tcW w:w="3686" w:type="dxa"/>
            <w:tcBorders>
              <w:top w:val="single" w:sz="6" w:space="0" w:color="000000"/>
              <w:bottom w:val="single" w:sz="6" w:space="0" w:color="000000"/>
            </w:tcBorders>
          </w:tcPr>
          <w:p w:rsidR="00B73B02" w:rsidRDefault="005F5B25">
            <w:pPr>
              <w:pStyle w:val="TableParagraph"/>
              <w:spacing w:line="204" w:lineRule="exact"/>
              <w:ind w:left="111"/>
              <w:rPr>
                <w:sz w:val="20"/>
              </w:rPr>
            </w:pPr>
            <w:r>
              <w:rPr>
                <w:sz w:val="20"/>
              </w:rPr>
              <w:t>Shortage of specified CHWs (HSAs and others)</w:t>
            </w:r>
          </w:p>
          <w:p w:rsidR="00B73B02" w:rsidRDefault="005F5B25">
            <w:pPr>
              <w:pStyle w:val="TableParagraph"/>
              <w:ind w:left="111" w:right="136"/>
              <w:rPr>
                <w:sz w:val="20"/>
              </w:rPr>
            </w:pPr>
            <w:r>
              <w:rPr>
                <w:sz w:val="20"/>
              </w:rPr>
              <w:t>to deliver essential health package interventions at community level – hence will still have to rely heavily on the work of CHVs to meet specified targets.</w:t>
            </w:r>
          </w:p>
          <w:p w:rsidR="00B73B02" w:rsidRDefault="00B73B02">
            <w:pPr>
              <w:pStyle w:val="TableParagraph"/>
              <w:spacing w:before="2"/>
              <w:rPr>
                <w:rFonts w:ascii="Calibri"/>
                <w:sz w:val="19"/>
              </w:rPr>
            </w:pPr>
          </w:p>
          <w:p w:rsidR="00B73B02" w:rsidRDefault="005F5B25">
            <w:pPr>
              <w:pStyle w:val="TableParagraph"/>
              <w:ind w:left="111" w:right="136"/>
              <w:rPr>
                <w:sz w:val="20"/>
              </w:rPr>
            </w:pPr>
            <w:r>
              <w:rPr>
                <w:sz w:val="20"/>
              </w:rPr>
              <w:t>The lack of clear job descriptions for CHVs within CHTs (in form of expected duties), risks CHVs being pulled into service delivery tasks they are not well prepared for. Furthermore, delegation of tasks requires a systematic approach, and the need to strive for diversity and inclusion of trained CHVs to constitute CHTs.</w:t>
            </w:r>
          </w:p>
        </w:tc>
        <w:tc>
          <w:tcPr>
            <w:tcW w:w="4735" w:type="dxa"/>
            <w:tcBorders>
              <w:top w:val="single" w:sz="6" w:space="0" w:color="000000"/>
              <w:bottom w:val="single" w:sz="6" w:space="0" w:color="000000"/>
            </w:tcBorders>
          </w:tcPr>
          <w:p w:rsidR="00B73B02" w:rsidRDefault="005F5B25">
            <w:pPr>
              <w:pStyle w:val="TableParagraph"/>
              <w:spacing w:line="204" w:lineRule="exact"/>
              <w:ind w:left="112"/>
              <w:rPr>
                <w:sz w:val="20"/>
              </w:rPr>
            </w:pPr>
            <w:r>
              <w:rPr>
                <w:sz w:val="20"/>
              </w:rPr>
              <w:t>The strategy’s aspiration is to ensure complete alignment of</w:t>
            </w:r>
          </w:p>
          <w:p w:rsidR="00B73B02" w:rsidRDefault="005F5B25">
            <w:pPr>
              <w:pStyle w:val="TableParagraph"/>
              <w:ind w:left="112" w:right="114"/>
              <w:rPr>
                <w:sz w:val="20"/>
              </w:rPr>
            </w:pPr>
            <w:r>
              <w:rPr>
                <w:sz w:val="20"/>
              </w:rPr>
              <w:t xml:space="preserve">service package </w:t>
            </w:r>
            <w:r>
              <w:rPr>
                <w:spacing w:val="-2"/>
                <w:sz w:val="20"/>
              </w:rPr>
              <w:t xml:space="preserve">delivered </w:t>
            </w:r>
            <w:r>
              <w:rPr>
                <w:sz w:val="20"/>
              </w:rPr>
              <w:t xml:space="preserve">by CHTs,  </w:t>
            </w:r>
            <w:r>
              <w:rPr>
                <w:spacing w:val="-3"/>
                <w:sz w:val="20"/>
              </w:rPr>
              <w:t xml:space="preserve">which  </w:t>
            </w:r>
            <w:r>
              <w:rPr>
                <w:sz w:val="20"/>
              </w:rPr>
              <w:t xml:space="preserve">include preventive, </w:t>
            </w:r>
            <w:proofErr w:type="spellStart"/>
            <w:r>
              <w:rPr>
                <w:sz w:val="20"/>
              </w:rPr>
              <w:t>promotive</w:t>
            </w:r>
            <w:proofErr w:type="spellEnd"/>
            <w:r>
              <w:rPr>
                <w:sz w:val="20"/>
              </w:rPr>
              <w:t xml:space="preserve">, community case </w:t>
            </w:r>
            <w:r>
              <w:rPr>
                <w:spacing w:val="-3"/>
                <w:sz w:val="20"/>
              </w:rPr>
              <w:t xml:space="preserve">management, disease </w:t>
            </w:r>
            <w:r>
              <w:rPr>
                <w:sz w:val="20"/>
              </w:rPr>
              <w:t xml:space="preserve">surveillance, referral and </w:t>
            </w:r>
            <w:r>
              <w:rPr>
                <w:spacing w:val="-3"/>
                <w:sz w:val="20"/>
              </w:rPr>
              <w:t>rehabilitative</w:t>
            </w:r>
            <w:r>
              <w:rPr>
                <w:spacing w:val="-25"/>
                <w:sz w:val="20"/>
              </w:rPr>
              <w:t xml:space="preserve"> </w:t>
            </w:r>
            <w:r>
              <w:rPr>
                <w:sz w:val="20"/>
              </w:rPr>
              <w:t>care.</w:t>
            </w:r>
          </w:p>
          <w:p w:rsidR="00B73B02" w:rsidRDefault="00B73B02">
            <w:pPr>
              <w:pStyle w:val="TableParagraph"/>
              <w:spacing w:before="4"/>
              <w:rPr>
                <w:rFonts w:ascii="Calibri"/>
                <w:sz w:val="19"/>
              </w:rPr>
            </w:pPr>
          </w:p>
          <w:p w:rsidR="00B73B02" w:rsidRDefault="005F5B25">
            <w:pPr>
              <w:pStyle w:val="TableParagraph"/>
              <w:ind w:left="112"/>
              <w:rPr>
                <w:sz w:val="20"/>
              </w:rPr>
            </w:pPr>
            <w:r>
              <w:rPr>
                <w:sz w:val="20"/>
              </w:rPr>
              <w:t>However, current organisation of essential health package interventions is centred around vertical programmes.</w:t>
            </w:r>
          </w:p>
          <w:p w:rsidR="00B73B02" w:rsidRDefault="005F5B25">
            <w:pPr>
              <w:pStyle w:val="TableParagraph"/>
              <w:spacing w:line="237" w:lineRule="auto"/>
              <w:ind w:left="112" w:right="226"/>
              <w:rPr>
                <w:sz w:val="20"/>
              </w:rPr>
            </w:pPr>
            <w:r>
              <w:rPr>
                <w:sz w:val="20"/>
              </w:rPr>
              <w:t>Community-based interventions for non-communicable diseases are minimal (e.g. provision of psychosocial care). Therefore, inclusion of more services such as community screening (e.g. for hypertension), health education and promotion of diet and lifestyle modification behaviour, could be beneficial.</w:t>
            </w:r>
          </w:p>
          <w:p w:rsidR="00B73B02" w:rsidRDefault="00B73B02">
            <w:pPr>
              <w:pStyle w:val="TableParagraph"/>
              <w:spacing w:before="11"/>
              <w:rPr>
                <w:rFonts w:ascii="Calibri"/>
                <w:sz w:val="19"/>
              </w:rPr>
            </w:pPr>
          </w:p>
          <w:p w:rsidR="00B73B02" w:rsidRDefault="005F5B25">
            <w:pPr>
              <w:pStyle w:val="TableParagraph"/>
              <w:spacing w:before="1"/>
              <w:ind w:left="112" w:right="327"/>
              <w:rPr>
                <w:sz w:val="20"/>
              </w:rPr>
            </w:pPr>
            <w:r>
              <w:rPr>
                <w:sz w:val="20"/>
              </w:rPr>
              <w:t>Development of an addendum to the strategy in which the possibility of task-shifting between CHT members is further explored, and stipulated in the form of expected duties of CHVs, and their interaction with other community-based health workers is critical.</w:t>
            </w:r>
          </w:p>
        </w:tc>
      </w:tr>
      <w:tr w:rsidR="00B73B02">
        <w:trPr>
          <w:trHeight w:val="2536"/>
        </w:trPr>
        <w:tc>
          <w:tcPr>
            <w:tcW w:w="2526" w:type="dxa"/>
            <w:tcBorders>
              <w:top w:val="single" w:sz="6" w:space="0" w:color="000000"/>
              <w:bottom w:val="single" w:sz="6" w:space="0" w:color="000000"/>
            </w:tcBorders>
          </w:tcPr>
          <w:p w:rsidR="00B73B02" w:rsidRDefault="005F5B25">
            <w:pPr>
              <w:pStyle w:val="TableParagraph"/>
              <w:spacing w:line="204" w:lineRule="exact"/>
              <w:ind w:left="114"/>
              <w:rPr>
                <w:b/>
                <w:sz w:val="20"/>
              </w:rPr>
            </w:pPr>
            <w:r>
              <w:rPr>
                <w:b/>
                <w:sz w:val="20"/>
              </w:rPr>
              <w:t>D. FINANCING</w:t>
            </w:r>
          </w:p>
          <w:p w:rsidR="00B73B02" w:rsidRDefault="005F5B25">
            <w:pPr>
              <w:pStyle w:val="TableParagraph"/>
              <w:spacing w:line="228" w:lineRule="exact"/>
              <w:ind w:left="114"/>
              <w:rPr>
                <w:i/>
                <w:sz w:val="20"/>
              </w:rPr>
            </w:pPr>
            <w:r>
              <w:rPr>
                <w:i/>
                <w:sz w:val="20"/>
              </w:rPr>
              <w:t>1) Incentive model</w:t>
            </w:r>
          </w:p>
          <w:p w:rsidR="00B73B02" w:rsidRDefault="005F5B25">
            <w:pPr>
              <w:pStyle w:val="TableParagraph"/>
              <w:spacing w:line="228" w:lineRule="exact"/>
              <w:ind w:left="114"/>
              <w:rPr>
                <w:b/>
                <w:sz w:val="20"/>
              </w:rPr>
            </w:pPr>
            <w:r>
              <w:rPr>
                <w:b/>
                <w:sz w:val="20"/>
              </w:rPr>
              <w:t>SO2: Key interventions;</w:t>
            </w:r>
          </w:p>
          <w:p w:rsidR="00B73B02" w:rsidRDefault="005F5B25">
            <w:pPr>
              <w:pStyle w:val="TableParagraph"/>
              <w:spacing w:line="242" w:lineRule="auto"/>
              <w:ind w:left="114" w:right="349"/>
              <w:rPr>
                <w:sz w:val="20"/>
              </w:rPr>
            </w:pPr>
            <w:r>
              <w:rPr>
                <w:sz w:val="20"/>
              </w:rPr>
              <w:t>1) provide incentives to all community-based health workers in CHTs to improve performance, retention and time spent.</w:t>
            </w:r>
          </w:p>
          <w:p w:rsidR="00B73B02" w:rsidRDefault="00B73B02">
            <w:pPr>
              <w:pStyle w:val="TableParagraph"/>
              <w:spacing w:before="2"/>
              <w:rPr>
                <w:rFonts w:ascii="Calibri"/>
                <w:sz w:val="18"/>
              </w:rPr>
            </w:pPr>
          </w:p>
          <w:p w:rsidR="00B73B02" w:rsidRDefault="005F5B25">
            <w:pPr>
              <w:pStyle w:val="TableParagraph"/>
              <w:ind w:left="114"/>
              <w:rPr>
                <w:sz w:val="20"/>
              </w:rPr>
            </w:pPr>
            <w:r>
              <w:rPr>
                <w:sz w:val="20"/>
              </w:rPr>
              <w:t>The package of non-monetary incentive includes HSAs</w:t>
            </w:r>
          </w:p>
        </w:tc>
        <w:tc>
          <w:tcPr>
            <w:tcW w:w="4682" w:type="dxa"/>
            <w:tcBorders>
              <w:top w:val="single" w:sz="6" w:space="0" w:color="000000"/>
              <w:bottom w:val="single" w:sz="6" w:space="0" w:color="000000"/>
            </w:tcBorders>
          </w:tcPr>
          <w:p w:rsidR="00B73B02" w:rsidRDefault="005F5B25">
            <w:pPr>
              <w:pStyle w:val="TableParagraph"/>
              <w:spacing w:line="204" w:lineRule="exact"/>
              <w:ind w:left="110"/>
              <w:rPr>
                <w:sz w:val="20"/>
              </w:rPr>
            </w:pPr>
            <w:r>
              <w:rPr>
                <w:sz w:val="20"/>
              </w:rPr>
              <w:t>CBO/FBOs which participated in a donor-led project were</w:t>
            </w:r>
          </w:p>
          <w:p w:rsidR="00B73B02" w:rsidRDefault="005F5B25">
            <w:pPr>
              <w:pStyle w:val="TableParagraph"/>
              <w:ind w:left="110" w:right="183"/>
              <w:rPr>
                <w:sz w:val="20"/>
              </w:rPr>
            </w:pPr>
            <w:r>
              <w:rPr>
                <w:sz w:val="20"/>
              </w:rPr>
              <w:t>allocated project funds using the following model: 1) 50% spent on strengthening health services; 2) 25% on CBO/volunteer development; 3) 25% on volunteer</w:t>
            </w:r>
          </w:p>
          <w:p w:rsidR="00B73B02" w:rsidRDefault="005F5B25">
            <w:pPr>
              <w:pStyle w:val="TableParagraph"/>
              <w:spacing w:before="7"/>
              <w:ind w:left="110"/>
              <w:rPr>
                <w:sz w:val="20"/>
              </w:rPr>
            </w:pPr>
            <w:r>
              <w:rPr>
                <w:sz w:val="20"/>
              </w:rPr>
              <w:t>empowerment</w:t>
            </w:r>
          </w:p>
          <w:p w:rsidR="00B73B02" w:rsidRDefault="00B73B02">
            <w:pPr>
              <w:pStyle w:val="TableParagraph"/>
              <w:spacing w:before="8"/>
              <w:rPr>
                <w:rFonts w:ascii="Calibri"/>
                <w:sz w:val="18"/>
              </w:rPr>
            </w:pPr>
          </w:p>
          <w:p w:rsidR="00B73B02" w:rsidRDefault="005F5B25">
            <w:pPr>
              <w:pStyle w:val="TableParagraph"/>
              <w:ind w:left="110" w:right="129"/>
              <w:rPr>
                <w:sz w:val="20"/>
              </w:rPr>
            </w:pPr>
            <w:r>
              <w:rPr>
                <w:sz w:val="20"/>
              </w:rPr>
              <w:t xml:space="preserve">Volunteers incentives </w:t>
            </w:r>
            <w:r>
              <w:rPr>
                <w:spacing w:val="-3"/>
                <w:sz w:val="20"/>
              </w:rPr>
              <w:t xml:space="preserve">were </w:t>
            </w:r>
            <w:r>
              <w:rPr>
                <w:sz w:val="20"/>
              </w:rPr>
              <w:t xml:space="preserve">tagged </w:t>
            </w:r>
            <w:r>
              <w:rPr>
                <w:spacing w:val="-7"/>
                <w:sz w:val="20"/>
              </w:rPr>
              <w:t xml:space="preserve">with </w:t>
            </w:r>
            <w:r>
              <w:rPr>
                <w:sz w:val="20"/>
              </w:rPr>
              <w:t xml:space="preserve">achievement of certain indicators and submission of forms e.g. </w:t>
            </w:r>
            <w:r>
              <w:rPr>
                <w:spacing w:val="-3"/>
                <w:sz w:val="20"/>
              </w:rPr>
              <w:t xml:space="preserve">number </w:t>
            </w:r>
            <w:r>
              <w:rPr>
                <w:sz w:val="20"/>
              </w:rPr>
              <w:t xml:space="preserve">of </w:t>
            </w:r>
            <w:r>
              <w:rPr>
                <w:spacing w:val="-3"/>
                <w:sz w:val="20"/>
              </w:rPr>
              <w:t xml:space="preserve">visits </w:t>
            </w:r>
            <w:r>
              <w:rPr>
                <w:spacing w:val="-6"/>
                <w:sz w:val="20"/>
              </w:rPr>
              <w:t xml:space="preserve">to </w:t>
            </w:r>
            <w:r>
              <w:rPr>
                <w:sz w:val="20"/>
              </w:rPr>
              <w:t xml:space="preserve">chronic clients; number of </w:t>
            </w:r>
            <w:r>
              <w:rPr>
                <w:spacing w:val="-3"/>
                <w:sz w:val="20"/>
              </w:rPr>
              <w:t xml:space="preserve">patients </w:t>
            </w:r>
            <w:r>
              <w:rPr>
                <w:sz w:val="20"/>
              </w:rPr>
              <w:t xml:space="preserve">joining support groups; number of </w:t>
            </w:r>
            <w:r>
              <w:rPr>
                <w:spacing w:val="-4"/>
                <w:sz w:val="20"/>
              </w:rPr>
              <w:t xml:space="preserve">HIV </w:t>
            </w:r>
            <w:r>
              <w:rPr>
                <w:sz w:val="20"/>
              </w:rPr>
              <w:t xml:space="preserve">clients adhering </w:t>
            </w:r>
            <w:r>
              <w:rPr>
                <w:spacing w:val="-6"/>
                <w:sz w:val="20"/>
              </w:rPr>
              <w:t xml:space="preserve">to </w:t>
            </w:r>
            <w:r>
              <w:rPr>
                <w:sz w:val="20"/>
              </w:rPr>
              <w:t xml:space="preserve">treatment; number of </w:t>
            </w:r>
            <w:r>
              <w:rPr>
                <w:spacing w:val="-3"/>
                <w:sz w:val="20"/>
              </w:rPr>
              <w:t xml:space="preserve">patients </w:t>
            </w:r>
            <w:r>
              <w:rPr>
                <w:spacing w:val="-7"/>
                <w:sz w:val="20"/>
              </w:rPr>
              <w:t xml:space="preserve">with </w:t>
            </w:r>
            <w:r>
              <w:rPr>
                <w:sz w:val="20"/>
              </w:rPr>
              <w:t xml:space="preserve">tuberculosis adhering </w:t>
            </w:r>
            <w:r>
              <w:rPr>
                <w:spacing w:val="-6"/>
                <w:sz w:val="20"/>
              </w:rPr>
              <w:t xml:space="preserve">to </w:t>
            </w:r>
            <w:r>
              <w:rPr>
                <w:sz w:val="20"/>
              </w:rPr>
              <w:t>treatment;</w:t>
            </w:r>
            <w:r>
              <w:rPr>
                <w:spacing w:val="30"/>
                <w:sz w:val="20"/>
              </w:rPr>
              <w:t xml:space="preserve"> </w:t>
            </w:r>
            <w:r>
              <w:rPr>
                <w:sz w:val="20"/>
              </w:rPr>
              <w:t>number</w:t>
            </w:r>
          </w:p>
        </w:tc>
        <w:tc>
          <w:tcPr>
            <w:tcW w:w="3686" w:type="dxa"/>
            <w:tcBorders>
              <w:top w:val="single" w:sz="6" w:space="0" w:color="000000"/>
              <w:bottom w:val="single" w:sz="6" w:space="0" w:color="000000"/>
            </w:tcBorders>
          </w:tcPr>
          <w:p w:rsidR="00B73B02" w:rsidRDefault="005F5B25">
            <w:pPr>
              <w:pStyle w:val="TableParagraph"/>
              <w:spacing w:line="204" w:lineRule="exact"/>
              <w:ind w:left="111"/>
              <w:rPr>
                <w:sz w:val="20"/>
              </w:rPr>
            </w:pPr>
            <w:r>
              <w:rPr>
                <w:sz w:val="20"/>
              </w:rPr>
              <w:t>Support to CHVs is not clearly stipulated in the</w:t>
            </w:r>
          </w:p>
          <w:p w:rsidR="00B73B02" w:rsidRDefault="005F5B25">
            <w:pPr>
              <w:pStyle w:val="TableParagraph"/>
              <w:ind w:left="111" w:right="154"/>
              <w:rPr>
                <w:sz w:val="20"/>
              </w:rPr>
            </w:pPr>
            <w:r>
              <w:rPr>
                <w:sz w:val="20"/>
              </w:rPr>
              <w:t>strategy, except for incentives to prioritised structures like village health committees through training and provision of bicycles. The risks of excluding certain groups/individuals from receiving any forms of incentives, could lead to tensions in work relations between paid and unpaid health providers, generate inequities, and lead to demotivation.</w:t>
            </w:r>
          </w:p>
          <w:p w:rsidR="00B73B02" w:rsidRDefault="00B73B02">
            <w:pPr>
              <w:pStyle w:val="TableParagraph"/>
              <w:spacing w:before="10"/>
              <w:rPr>
                <w:rFonts w:ascii="Calibri"/>
                <w:sz w:val="18"/>
              </w:rPr>
            </w:pPr>
          </w:p>
          <w:p w:rsidR="00B73B02" w:rsidRDefault="005F5B25">
            <w:pPr>
              <w:pStyle w:val="TableParagraph"/>
              <w:ind w:left="111"/>
              <w:rPr>
                <w:sz w:val="20"/>
              </w:rPr>
            </w:pPr>
            <w:r>
              <w:rPr>
                <w:sz w:val="20"/>
              </w:rPr>
              <w:t>Scalability is a threat for volunteer-led</w:t>
            </w:r>
          </w:p>
        </w:tc>
        <w:tc>
          <w:tcPr>
            <w:tcW w:w="4735" w:type="dxa"/>
            <w:tcBorders>
              <w:top w:val="single" w:sz="6" w:space="0" w:color="000000"/>
              <w:bottom w:val="single" w:sz="6" w:space="0" w:color="000000"/>
            </w:tcBorders>
          </w:tcPr>
          <w:p w:rsidR="00B73B02" w:rsidRDefault="005F5B25">
            <w:pPr>
              <w:pStyle w:val="TableParagraph"/>
              <w:spacing w:line="204" w:lineRule="exact"/>
              <w:ind w:left="112"/>
              <w:rPr>
                <w:sz w:val="20"/>
              </w:rPr>
            </w:pPr>
            <w:r>
              <w:rPr>
                <w:sz w:val="20"/>
              </w:rPr>
              <w:t>CHW salaries, essential health package commodities and</w:t>
            </w:r>
          </w:p>
          <w:p w:rsidR="00B73B02" w:rsidRDefault="005F5B25">
            <w:pPr>
              <w:pStyle w:val="TableParagraph"/>
              <w:spacing w:line="242" w:lineRule="auto"/>
              <w:ind w:left="112" w:right="226"/>
              <w:rPr>
                <w:sz w:val="20"/>
              </w:rPr>
            </w:pPr>
            <w:r>
              <w:rPr>
                <w:sz w:val="20"/>
              </w:rPr>
              <w:t>supplies, and infrastructure account for the majority of costs. That is, 30%, 20%, and 20%, respectively. Financing the strategy will require support from government, donors, partners, and the private sector.</w:t>
            </w:r>
          </w:p>
          <w:p w:rsidR="00B73B02" w:rsidRDefault="00B73B02">
            <w:pPr>
              <w:pStyle w:val="TableParagraph"/>
              <w:spacing w:before="5"/>
              <w:rPr>
                <w:rFonts w:ascii="Calibri"/>
                <w:sz w:val="18"/>
              </w:rPr>
            </w:pPr>
          </w:p>
          <w:p w:rsidR="00B73B02" w:rsidRDefault="005F5B25">
            <w:pPr>
              <w:pStyle w:val="TableParagraph"/>
              <w:spacing w:before="1"/>
              <w:ind w:left="112" w:right="218"/>
              <w:rPr>
                <w:sz w:val="20"/>
              </w:rPr>
            </w:pPr>
            <w:r>
              <w:rPr>
                <w:sz w:val="20"/>
              </w:rPr>
              <w:t>Under Malawi’s devolution policy, district authorities will be the primary source for CHT salary and supervision. They will also provide significant support towards transport and infrastructure including health posts and housing for the</w:t>
            </w:r>
          </w:p>
          <w:p w:rsidR="00B73B02" w:rsidRDefault="005F5B25">
            <w:pPr>
              <w:pStyle w:val="TableParagraph"/>
              <w:spacing w:line="225" w:lineRule="exact"/>
              <w:ind w:left="112"/>
              <w:rPr>
                <w:sz w:val="20"/>
              </w:rPr>
            </w:pPr>
            <w:r>
              <w:rPr>
                <w:sz w:val="20"/>
              </w:rPr>
              <w:t>community-based health workers. Communities are expected</w:t>
            </w:r>
          </w:p>
        </w:tc>
      </w:tr>
    </w:tbl>
    <w:p w:rsidR="00B73B02" w:rsidRDefault="00B73B02">
      <w:pPr>
        <w:spacing w:line="225" w:lineRule="exact"/>
        <w:rPr>
          <w:sz w:val="20"/>
        </w:rPr>
        <w:sectPr w:rsidR="00B73B02">
          <w:pgSz w:w="16840" w:h="11910" w:orient="landscape"/>
          <w:pgMar w:top="720" w:right="500" w:bottom="1100" w:left="500" w:header="0" w:footer="915"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494"/>
        <w:gridCol w:w="4717"/>
        <w:gridCol w:w="3681"/>
        <w:gridCol w:w="4741"/>
      </w:tblGrid>
      <w:tr w:rsidR="00B73B02">
        <w:trPr>
          <w:trHeight w:val="893"/>
        </w:trPr>
        <w:tc>
          <w:tcPr>
            <w:tcW w:w="2494"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4"/>
              <w:rPr>
                <w:b/>
                <w:sz w:val="20"/>
              </w:rPr>
            </w:pPr>
            <w:r>
              <w:rPr>
                <w:b/>
                <w:sz w:val="20"/>
              </w:rPr>
              <w:lastRenderedPageBreak/>
              <w:t>National Community Health</w:t>
            </w:r>
          </w:p>
          <w:p w:rsidR="00B73B02" w:rsidRDefault="005F5B25">
            <w:pPr>
              <w:pStyle w:val="TableParagraph"/>
              <w:spacing w:line="228" w:lineRule="exact"/>
              <w:ind w:left="114"/>
              <w:rPr>
                <w:b/>
                <w:sz w:val="20"/>
              </w:rPr>
            </w:pPr>
            <w:r>
              <w:rPr>
                <w:b/>
                <w:sz w:val="20"/>
              </w:rPr>
              <w:t>Strategy</w:t>
            </w:r>
          </w:p>
          <w:p w:rsidR="00B73B02" w:rsidRDefault="005F5B25">
            <w:pPr>
              <w:pStyle w:val="TableParagraph"/>
              <w:numPr>
                <w:ilvl w:val="0"/>
                <w:numId w:val="3"/>
              </w:numPr>
              <w:tabs>
                <w:tab w:val="left" w:pos="259"/>
              </w:tabs>
              <w:spacing w:line="228" w:lineRule="exact"/>
              <w:rPr>
                <w:b/>
                <w:sz w:val="20"/>
              </w:rPr>
            </w:pPr>
            <w:r>
              <w:rPr>
                <w:b/>
                <w:sz w:val="20"/>
              </w:rPr>
              <w:t xml:space="preserve">6 </w:t>
            </w:r>
            <w:r>
              <w:rPr>
                <w:b/>
                <w:spacing w:val="1"/>
                <w:sz w:val="20"/>
              </w:rPr>
              <w:t xml:space="preserve">strategic </w:t>
            </w:r>
            <w:r>
              <w:rPr>
                <w:b/>
                <w:sz w:val="20"/>
              </w:rPr>
              <w:t>objectives</w:t>
            </w:r>
            <w:r>
              <w:rPr>
                <w:b/>
                <w:spacing w:val="-20"/>
                <w:sz w:val="20"/>
              </w:rPr>
              <w:t xml:space="preserve"> </w:t>
            </w:r>
            <w:r>
              <w:rPr>
                <w:b/>
                <w:sz w:val="20"/>
              </w:rPr>
              <w:t>(SO)</w:t>
            </w:r>
          </w:p>
          <w:p w:rsidR="00B73B02" w:rsidRDefault="005F5B25">
            <w:pPr>
              <w:pStyle w:val="TableParagraph"/>
              <w:numPr>
                <w:ilvl w:val="0"/>
                <w:numId w:val="3"/>
              </w:numPr>
              <w:tabs>
                <w:tab w:val="left" w:pos="259"/>
              </w:tabs>
              <w:spacing w:line="229" w:lineRule="exact"/>
              <w:rPr>
                <w:b/>
                <w:sz w:val="20"/>
              </w:rPr>
            </w:pPr>
            <w:r>
              <w:rPr>
                <w:b/>
                <w:sz w:val="20"/>
              </w:rPr>
              <w:t xml:space="preserve">6 </w:t>
            </w:r>
            <w:r>
              <w:rPr>
                <w:b/>
                <w:spacing w:val="1"/>
                <w:sz w:val="20"/>
              </w:rPr>
              <w:t xml:space="preserve">guiding </w:t>
            </w:r>
            <w:r>
              <w:rPr>
                <w:b/>
                <w:spacing w:val="-3"/>
                <w:sz w:val="20"/>
              </w:rPr>
              <w:t>principles</w:t>
            </w:r>
            <w:r>
              <w:rPr>
                <w:b/>
                <w:spacing w:val="-5"/>
                <w:sz w:val="20"/>
              </w:rPr>
              <w:t xml:space="preserve"> </w:t>
            </w:r>
            <w:r>
              <w:rPr>
                <w:b/>
                <w:sz w:val="20"/>
              </w:rPr>
              <w:t>(GP)</w:t>
            </w:r>
          </w:p>
        </w:tc>
        <w:tc>
          <w:tcPr>
            <w:tcW w:w="4717" w:type="dxa"/>
            <w:tcBorders>
              <w:top w:val="single" w:sz="6" w:space="0" w:color="000000"/>
              <w:bottom w:val="single" w:sz="6" w:space="0" w:color="000000"/>
            </w:tcBorders>
            <w:shd w:val="clear" w:color="auto" w:fill="F1F1F1"/>
          </w:tcPr>
          <w:p w:rsidR="00B73B02" w:rsidRDefault="005F5B25">
            <w:pPr>
              <w:pStyle w:val="TableParagraph"/>
              <w:spacing w:line="205" w:lineRule="exact"/>
              <w:ind w:left="142"/>
              <w:rPr>
                <w:b/>
                <w:i/>
                <w:sz w:val="20"/>
              </w:rPr>
            </w:pPr>
            <w:r>
              <w:rPr>
                <w:b/>
                <w:i/>
                <w:sz w:val="20"/>
              </w:rPr>
              <w:t>Synthesis of data from research on community home-</w:t>
            </w:r>
          </w:p>
          <w:p w:rsidR="00B73B02" w:rsidRDefault="005F5B25">
            <w:pPr>
              <w:pStyle w:val="TableParagraph"/>
              <w:ind w:left="142" w:right="243"/>
              <w:rPr>
                <w:b/>
                <w:i/>
                <w:sz w:val="20"/>
              </w:rPr>
            </w:pPr>
            <w:r>
              <w:rPr>
                <w:b/>
                <w:i/>
                <w:sz w:val="20"/>
              </w:rPr>
              <w:t>based care programmes role in chronic care in Phalombe district, Malawi</w:t>
            </w:r>
          </w:p>
        </w:tc>
        <w:tc>
          <w:tcPr>
            <w:tcW w:w="3681" w:type="dxa"/>
            <w:tcBorders>
              <w:top w:val="single" w:sz="6" w:space="0" w:color="000000"/>
              <w:bottom w:val="single" w:sz="6" w:space="0" w:color="000000"/>
            </w:tcBorders>
            <w:shd w:val="clear" w:color="auto" w:fill="F1F1F1"/>
          </w:tcPr>
          <w:p w:rsidR="00B73B02" w:rsidRDefault="005F5B25">
            <w:pPr>
              <w:pStyle w:val="TableParagraph"/>
              <w:spacing w:line="205" w:lineRule="exact"/>
              <w:ind w:left="108"/>
              <w:rPr>
                <w:b/>
                <w:sz w:val="20"/>
              </w:rPr>
            </w:pPr>
            <w:r>
              <w:rPr>
                <w:b/>
                <w:sz w:val="20"/>
              </w:rPr>
              <w:t>What are the current gaps in the strategy</w:t>
            </w:r>
          </w:p>
          <w:p w:rsidR="00B73B02" w:rsidRDefault="005F5B25">
            <w:pPr>
              <w:pStyle w:val="TableParagraph"/>
              <w:spacing w:line="229" w:lineRule="exact"/>
              <w:ind w:left="108"/>
              <w:rPr>
                <w:b/>
                <w:i/>
                <w:sz w:val="20"/>
              </w:rPr>
            </w:pPr>
            <w:r>
              <w:rPr>
                <w:b/>
                <w:sz w:val="20"/>
              </w:rPr>
              <w:t xml:space="preserve">- </w:t>
            </w:r>
            <w:r>
              <w:rPr>
                <w:b/>
                <w:i/>
                <w:sz w:val="20"/>
              </w:rPr>
              <w:t>challenges for implementation</w:t>
            </w:r>
          </w:p>
        </w:tc>
        <w:tc>
          <w:tcPr>
            <w:tcW w:w="4741"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4"/>
              <w:rPr>
                <w:b/>
                <w:i/>
                <w:sz w:val="20"/>
              </w:rPr>
            </w:pPr>
            <w:r>
              <w:rPr>
                <w:b/>
                <w:i/>
                <w:sz w:val="20"/>
              </w:rPr>
              <w:t>Recommendations and opportunities to explore</w:t>
            </w:r>
          </w:p>
          <w:p w:rsidR="00B73B02" w:rsidRDefault="005F5B25">
            <w:pPr>
              <w:pStyle w:val="TableParagraph"/>
              <w:spacing w:line="229" w:lineRule="exact"/>
              <w:ind w:left="114"/>
              <w:rPr>
                <w:b/>
                <w:i/>
                <w:sz w:val="20"/>
              </w:rPr>
            </w:pPr>
            <w:r>
              <w:rPr>
                <w:b/>
                <w:i/>
                <w:sz w:val="20"/>
              </w:rPr>
              <w:t>- as stated in the strategy and research synthesis</w:t>
            </w:r>
          </w:p>
        </w:tc>
      </w:tr>
      <w:tr w:rsidR="00B73B02">
        <w:trPr>
          <w:trHeight w:val="5281"/>
        </w:trPr>
        <w:tc>
          <w:tcPr>
            <w:tcW w:w="2494" w:type="dxa"/>
            <w:tcBorders>
              <w:top w:val="single" w:sz="6" w:space="0" w:color="000000"/>
              <w:bottom w:val="single" w:sz="6" w:space="0" w:color="000000"/>
            </w:tcBorders>
          </w:tcPr>
          <w:p w:rsidR="00B73B02" w:rsidRDefault="005F5B25">
            <w:pPr>
              <w:pStyle w:val="TableParagraph"/>
              <w:spacing w:line="205" w:lineRule="exact"/>
              <w:ind w:left="114"/>
              <w:rPr>
                <w:sz w:val="20"/>
              </w:rPr>
            </w:pPr>
            <w:r>
              <w:rPr>
                <w:sz w:val="20"/>
              </w:rPr>
              <w:t>housing,  transport support,</w:t>
            </w:r>
          </w:p>
          <w:p w:rsidR="00B73B02" w:rsidRDefault="005F5B25">
            <w:pPr>
              <w:pStyle w:val="TableParagraph"/>
              <w:spacing w:line="229" w:lineRule="exact"/>
              <w:ind w:left="114"/>
              <w:rPr>
                <w:sz w:val="20"/>
              </w:rPr>
            </w:pPr>
            <w:r>
              <w:rPr>
                <w:sz w:val="20"/>
              </w:rPr>
              <w:t>uniforms, identity cards etc.</w:t>
            </w:r>
          </w:p>
        </w:tc>
        <w:tc>
          <w:tcPr>
            <w:tcW w:w="4717" w:type="dxa"/>
            <w:tcBorders>
              <w:top w:val="single" w:sz="6" w:space="0" w:color="000000"/>
              <w:bottom w:val="single" w:sz="6" w:space="0" w:color="000000"/>
            </w:tcBorders>
          </w:tcPr>
          <w:p w:rsidR="00B73B02" w:rsidRDefault="005F5B25">
            <w:pPr>
              <w:pStyle w:val="TableParagraph"/>
              <w:spacing w:line="205" w:lineRule="exact"/>
              <w:ind w:left="142"/>
              <w:rPr>
                <w:sz w:val="20"/>
              </w:rPr>
            </w:pPr>
            <w:r>
              <w:rPr>
                <w:sz w:val="20"/>
              </w:rPr>
              <w:t>of HIV counselling and testing done. This target driven model</w:t>
            </w:r>
          </w:p>
          <w:p w:rsidR="00B73B02" w:rsidRDefault="005F5B25">
            <w:pPr>
              <w:pStyle w:val="TableParagraph"/>
              <w:spacing w:line="244" w:lineRule="auto"/>
              <w:ind w:left="142"/>
              <w:rPr>
                <w:sz w:val="20"/>
              </w:rPr>
            </w:pPr>
            <w:r>
              <w:rPr>
                <w:sz w:val="20"/>
              </w:rPr>
              <w:t>aimed at increasing service coverage and motivating volunteers. The withdrawal of monetary and organisational support contributed to volunteer attrition.</w:t>
            </w:r>
          </w:p>
          <w:p w:rsidR="00B73B02" w:rsidRDefault="00B73B02">
            <w:pPr>
              <w:pStyle w:val="TableParagraph"/>
              <w:spacing w:before="2"/>
              <w:rPr>
                <w:rFonts w:ascii="Calibri"/>
                <w:sz w:val="18"/>
              </w:rPr>
            </w:pPr>
          </w:p>
          <w:p w:rsidR="00B73B02" w:rsidRDefault="005F5B25">
            <w:pPr>
              <w:pStyle w:val="TableParagraph"/>
              <w:ind w:left="142" w:right="128"/>
              <w:rPr>
                <w:sz w:val="20"/>
              </w:rPr>
            </w:pPr>
            <w:r>
              <w:rPr>
                <w:sz w:val="20"/>
              </w:rPr>
              <w:t xml:space="preserve">The National </w:t>
            </w:r>
            <w:r>
              <w:rPr>
                <w:spacing w:val="-4"/>
                <w:sz w:val="20"/>
              </w:rPr>
              <w:t xml:space="preserve">AIDS </w:t>
            </w:r>
            <w:r>
              <w:rPr>
                <w:sz w:val="20"/>
              </w:rPr>
              <w:t xml:space="preserve">Commission (NAC) provided direct funding </w:t>
            </w:r>
            <w:r>
              <w:rPr>
                <w:spacing w:val="-6"/>
                <w:sz w:val="20"/>
              </w:rPr>
              <w:t xml:space="preserve">to </w:t>
            </w:r>
            <w:r>
              <w:rPr>
                <w:sz w:val="20"/>
              </w:rPr>
              <w:t xml:space="preserve">CBO/FBOs through </w:t>
            </w:r>
            <w:r>
              <w:rPr>
                <w:spacing w:val="-4"/>
                <w:sz w:val="20"/>
              </w:rPr>
              <w:t xml:space="preserve">the </w:t>
            </w:r>
            <w:r>
              <w:rPr>
                <w:sz w:val="20"/>
              </w:rPr>
              <w:t xml:space="preserve">district </w:t>
            </w:r>
            <w:r>
              <w:rPr>
                <w:spacing w:val="-4"/>
                <w:sz w:val="20"/>
              </w:rPr>
              <w:t xml:space="preserve">AIDS </w:t>
            </w:r>
            <w:r>
              <w:rPr>
                <w:sz w:val="20"/>
              </w:rPr>
              <w:t xml:space="preserve">coordinators </w:t>
            </w:r>
            <w:r>
              <w:rPr>
                <w:spacing w:val="-4"/>
                <w:sz w:val="20"/>
              </w:rPr>
              <w:t xml:space="preserve">office </w:t>
            </w:r>
            <w:r>
              <w:rPr>
                <w:spacing w:val="-6"/>
                <w:sz w:val="20"/>
              </w:rPr>
              <w:t xml:space="preserve">to </w:t>
            </w:r>
            <w:r>
              <w:rPr>
                <w:sz w:val="20"/>
              </w:rPr>
              <w:t xml:space="preserve">implement community-based </w:t>
            </w:r>
            <w:r>
              <w:rPr>
                <w:spacing w:val="-4"/>
                <w:sz w:val="20"/>
              </w:rPr>
              <w:t xml:space="preserve">HIV </w:t>
            </w:r>
            <w:r>
              <w:rPr>
                <w:spacing w:val="-3"/>
                <w:sz w:val="20"/>
              </w:rPr>
              <w:t xml:space="preserve">activities. </w:t>
            </w:r>
            <w:r>
              <w:rPr>
                <w:spacing w:val="-6"/>
                <w:sz w:val="20"/>
              </w:rPr>
              <w:t xml:space="preserve">In </w:t>
            </w:r>
            <w:r>
              <w:rPr>
                <w:sz w:val="20"/>
              </w:rPr>
              <w:t xml:space="preserve">2015, NAC direct funding </w:t>
            </w:r>
            <w:r>
              <w:rPr>
                <w:spacing w:val="-6"/>
                <w:sz w:val="20"/>
              </w:rPr>
              <w:t xml:space="preserve">to </w:t>
            </w:r>
            <w:r>
              <w:rPr>
                <w:sz w:val="20"/>
              </w:rPr>
              <w:t xml:space="preserve">CBOs changed, </w:t>
            </w:r>
            <w:r>
              <w:rPr>
                <w:spacing w:val="-7"/>
                <w:sz w:val="20"/>
              </w:rPr>
              <w:t xml:space="preserve">with </w:t>
            </w:r>
            <w:r>
              <w:rPr>
                <w:sz w:val="20"/>
              </w:rPr>
              <w:t xml:space="preserve">new requirements </w:t>
            </w:r>
            <w:r>
              <w:rPr>
                <w:spacing w:val="-4"/>
                <w:sz w:val="20"/>
              </w:rPr>
              <w:t xml:space="preserve">for </w:t>
            </w:r>
            <w:r>
              <w:rPr>
                <w:sz w:val="20"/>
              </w:rPr>
              <w:t xml:space="preserve">CBO/FBOs </w:t>
            </w:r>
            <w:r>
              <w:rPr>
                <w:spacing w:val="-6"/>
                <w:sz w:val="20"/>
              </w:rPr>
              <w:t xml:space="preserve">to </w:t>
            </w:r>
            <w:r>
              <w:rPr>
                <w:spacing w:val="1"/>
                <w:sz w:val="20"/>
              </w:rPr>
              <w:t xml:space="preserve">submit </w:t>
            </w:r>
            <w:r>
              <w:rPr>
                <w:sz w:val="20"/>
              </w:rPr>
              <w:t xml:space="preserve">grant proposals </w:t>
            </w:r>
            <w:r>
              <w:rPr>
                <w:spacing w:val="-6"/>
                <w:sz w:val="20"/>
              </w:rPr>
              <w:t xml:space="preserve">to </w:t>
            </w:r>
            <w:r>
              <w:rPr>
                <w:sz w:val="20"/>
              </w:rPr>
              <w:t xml:space="preserve">intermediary organisations. Hence, </w:t>
            </w:r>
            <w:r>
              <w:rPr>
                <w:spacing w:val="-3"/>
                <w:sz w:val="20"/>
              </w:rPr>
              <w:t xml:space="preserve">this </w:t>
            </w:r>
            <w:r>
              <w:rPr>
                <w:sz w:val="20"/>
              </w:rPr>
              <w:t xml:space="preserve">has </w:t>
            </w:r>
            <w:r>
              <w:rPr>
                <w:spacing w:val="-4"/>
                <w:sz w:val="20"/>
              </w:rPr>
              <w:t xml:space="preserve">affected </w:t>
            </w:r>
            <w:r>
              <w:rPr>
                <w:spacing w:val="-3"/>
                <w:sz w:val="20"/>
              </w:rPr>
              <w:t xml:space="preserve">activities </w:t>
            </w:r>
            <w:r>
              <w:rPr>
                <w:sz w:val="20"/>
              </w:rPr>
              <w:t xml:space="preserve">of CBO/FBOs, </w:t>
            </w:r>
            <w:r>
              <w:rPr>
                <w:spacing w:val="3"/>
                <w:sz w:val="20"/>
              </w:rPr>
              <w:t xml:space="preserve">some </w:t>
            </w:r>
            <w:r>
              <w:rPr>
                <w:sz w:val="20"/>
              </w:rPr>
              <w:t xml:space="preserve">of </w:t>
            </w:r>
            <w:r>
              <w:rPr>
                <w:spacing w:val="-3"/>
                <w:sz w:val="20"/>
              </w:rPr>
              <w:t xml:space="preserve">which </w:t>
            </w:r>
            <w:r>
              <w:rPr>
                <w:spacing w:val="2"/>
                <w:sz w:val="20"/>
              </w:rPr>
              <w:t xml:space="preserve">became </w:t>
            </w:r>
            <w:r>
              <w:rPr>
                <w:spacing w:val="-3"/>
                <w:sz w:val="20"/>
              </w:rPr>
              <w:t xml:space="preserve">dormant, </w:t>
            </w:r>
            <w:r>
              <w:rPr>
                <w:sz w:val="20"/>
              </w:rPr>
              <w:t xml:space="preserve">due </w:t>
            </w:r>
            <w:r>
              <w:rPr>
                <w:spacing w:val="-6"/>
                <w:sz w:val="20"/>
              </w:rPr>
              <w:t xml:space="preserve">to </w:t>
            </w:r>
            <w:r>
              <w:rPr>
                <w:sz w:val="20"/>
              </w:rPr>
              <w:t>funding challenges.</w:t>
            </w:r>
          </w:p>
          <w:p w:rsidR="00B73B02" w:rsidRDefault="00B73B02">
            <w:pPr>
              <w:pStyle w:val="TableParagraph"/>
              <w:spacing w:before="10"/>
              <w:rPr>
                <w:rFonts w:ascii="Calibri"/>
                <w:sz w:val="18"/>
              </w:rPr>
            </w:pPr>
          </w:p>
          <w:p w:rsidR="00B73B02" w:rsidRDefault="005F5B25">
            <w:pPr>
              <w:pStyle w:val="TableParagraph"/>
              <w:ind w:left="142"/>
              <w:rPr>
                <w:sz w:val="20"/>
              </w:rPr>
            </w:pPr>
            <w:r>
              <w:rPr>
                <w:sz w:val="20"/>
              </w:rPr>
              <w:t>CBO/FBO initiatives to finance activities include: 1) through CHV monthly contributions, although irregular; 2) income generating activities such as small-scale cash farming; 3) member contribution to village savings and loans schemes;</w:t>
            </w:r>
          </w:p>
          <w:p w:rsidR="00B73B02" w:rsidRDefault="005F5B25">
            <w:pPr>
              <w:pStyle w:val="TableParagraph"/>
              <w:spacing w:line="242" w:lineRule="auto"/>
              <w:ind w:left="142" w:right="243"/>
              <w:rPr>
                <w:sz w:val="20"/>
              </w:rPr>
            </w:pPr>
            <w:r>
              <w:rPr>
                <w:sz w:val="20"/>
              </w:rPr>
              <w:t>4) CBO/FBO visitors contribution (‘drop-box’ kitty); and 5) grant proposal writing. Some CBO/FBOs seek support from private donors and charitable foundations to finance activities.</w:t>
            </w:r>
          </w:p>
        </w:tc>
        <w:tc>
          <w:tcPr>
            <w:tcW w:w="3681" w:type="dxa"/>
            <w:tcBorders>
              <w:top w:val="single" w:sz="6" w:space="0" w:color="000000"/>
              <w:bottom w:val="single" w:sz="6" w:space="0" w:color="000000"/>
            </w:tcBorders>
          </w:tcPr>
          <w:p w:rsidR="00B73B02" w:rsidRDefault="005F5B25">
            <w:pPr>
              <w:pStyle w:val="TableParagraph"/>
              <w:spacing w:line="205" w:lineRule="exact"/>
              <w:ind w:left="108"/>
              <w:rPr>
                <w:sz w:val="20"/>
              </w:rPr>
            </w:pPr>
            <w:r>
              <w:rPr>
                <w:sz w:val="20"/>
              </w:rPr>
              <w:t>programmes or initiatives that are donor-</w:t>
            </w:r>
          </w:p>
          <w:p w:rsidR="00B73B02" w:rsidRDefault="005F5B25">
            <w:pPr>
              <w:pStyle w:val="TableParagraph"/>
              <w:spacing w:line="244" w:lineRule="auto"/>
              <w:ind w:left="108" w:right="200"/>
              <w:jc w:val="both"/>
              <w:rPr>
                <w:sz w:val="20"/>
              </w:rPr>
            </w:pPr>
            <w:r>
              <w:rPr>
                <w:sz w:val="20"/>
              </w:rPr>
              <w:t>dependent or externally funded, hence uptake and continuity of such initiatives by Ministry of Health (</w:t>
            </w:r>
            <w:proofErr w:type="spellStart"/>
            <w:r>
              <w:rPr>
                <w:sz w:val="20"/>
              </w:rPr>
              <w:t>MoH</w:t>
            </w:r>
            <w:proofErr w:type="spellEnd"/>
            <w:r>
              <w:rPr>
                <w:sz w:val="20"/>
              </w:rPr>
              <w:t>) could be a challenge.</w:t>
            </w:r>
          </w:p>
        </w:tc>
        <w:tc>
          <w:tcPr>
            <w:tcW w:w="4741" w:type="dxa"/>
            <w:tcBorders>
              <w:top w:val="single" w:sz="6" w:space="0" w:color="000000"/>
              <w:bottom w:val="single" w:sz="6" w:space="0" w:color="000000"/>
            </w:tcBorders>
          </w:tcPr>
          <w:p w:rsidR="00B73B02" w:rsidRDefault="005F5B25">
            <w:pPr>
              <w:pStyle w:val="TableParagraph"/>
              <w:spacing w:line="205" w:lineRule="exact"/>
              <w:ind w:left="114"/>
              <w:rPr>
                <w:sz w:val="20"/>
              </w:rPr>
            </w:pPr>
            <w:r>
              <w:rPr>
                <w:sz w:val="20"/>
              </w:rPr>
              <w:t>to contribute through work as volunteers, and support</w:t>
            </w:r>
          </w:p>
          <w:p w:rsidR="00B73B02" w:rsidRDefault="005F5B25">
            <w:pPr>
              <w:pStyle w:val="TableParagraph"/>
              <w:ind w:left="114"/>
              <w:rPr>
                <w:sz w:val="20"/>
              </w:rPr>
            </w:pPr>
            <w:r>
              <w:rPr>
                <w:sz w:val="20"/>
              </w:rPr>
              <w:t xml:space="preserve">infrastructure in construction of health post and housing (for HSAs </w:t>
            </w:r>
            <w:proofErr w:type="spellStart"/>
            <w:r>
              <w:rPr>
                <w:sz w:val="20"/>
              </w:rPr>
              <w:t>etc</w:t>
            </w:r>
            <w:proofErr w:type="spellEnd"/>
            <w:r>
              <w:rPr>
                <w:sz w:val="20"/>
              </w:rPr>
              <w:t>).</w:t>
            </w:r>
          </w:p>
          <w:p w:rsidR="00B73B02" w:rsidRDefault="00B73B02">
            <w:pPr>
              <w:pStyle w:val="TableParagraph"/>
              <w:spacing w:before="5"/>
              <w:rPr>
                <w:rFonts w:ascii="Calibri"/>
                <w:sz w:val="19"/>
              </w:rPr>
            </w:pPr>
          </w:p>
          <w:p w:rsidR="00B73B02" w:rsidRDefault="005F5B25">
            <w:pPr>
              <w:pStyle w:val="TableParagraph"/>
              <w:ind w:left="114" w:right="111"/>
              <w:rPr>
                <w:sz w:val="20"/>
              </w:rPr>
            </w:pPr>
            <w:r>
              <w:rPr>
                <w:sz w:val="20"/>
              </w:rPr>
              <w:t>Due to changes in national level financing, district authorities could find alternatives within local budgets to fund and sustain CBO/FBO activities at district level.</w:t>
            </w:r>
          </w:p>
        </w:tc>
      </w:tr>
      <w:tr w:rsidR="00B73B02">
        <w:trPr>
          <w:trHeight w:val="3689"/>
        </w:trPr>
        <w:tc>
          <w:tcPr>
            <w:tcW w:w="2494" w:type="dxa"/>
            <w:tcBorders>
              <w:top w:val="single" w:sz="6" w:space="0" w:color="000000"/>
              <w:bottom w:val="single" w:sz="6" w:space="0" w:color="000000"/>
            </w:tcBorders>
          </w:tcPr>
          <w:p w:rsidR="00B73B02" w:rsidRDefault="005F5B25">
            <w:pPr>
              <w:pStyle w:val="TableParagraph"/>
              <w:spacing w:line="204" w:lineRule="exact"/>
              <w:ind w:left="114"/>
              <w:rPr>
                <w:b/>
                <w:sz w:val="20"/>
              </w:rPr>
            </w:pPr>
            <w:r>
              <w:rPr>
                <w:b/>
                <w:sz w:val="20"/>
              </w:rPr>
              <w:t>E. FINANCING</w:t>
            </w:r>
          </w:p>
          <w:p w:rsidR="00B73B02" w:rsidRDefault="005F5B25">
            <w:pPr>
              <w:pStyle w:val="TableParagraph"/>
              <w:ind w:left="114"/>
              <w:rPr>
                <w:i/>
                <w:sz w:val="20"/>
              </w:rPr>
            </w:pPr>
            <w:r>
              <w:rPr>
                <w:i/>
                <w:sz w:val="20"/>
              </w:rPr>
              <w:t>2) Supply and infrastructure support</w:t>
            </w:r>
          </w:p>
          <w:p w:rsidR="00B73B02" w:rsidRDefault="00B73B02">
            <w:pPr>
              <w:pStyle w:val="TableParagraph"/>
              <w:spacing w:before="5"/>
              <w:rPr>
                <w:rFonts w:ascii="Calibri"/>
                <w:sz w:val="18"/>
              </w:rPr>
            </w:pPr>
          </w:p>
          <w:p w:rsidR="00B73B02" w:rsidRDefault="005F5B25">
            <w:pPr>
              <w:pStyle w:val="TableParagraph"/>
              <w:spacing w:line="229" w:lineRule="exact"/>
              <w:ind w:left="114"/>
              <w:rPr>
                <w:b/>
                <w:sz w:val="20"/>
              </w:rPr>
            </w:pPr>
            <w:r>
              <w:rPr>
                <w:b/>
                <w:sz w:val="20"/>
              </w:rPr>
              <w:t>SO4 key interventions:</w:t>
            </w:r>
          </w:p>
          <w:p w:rsidR="00B73B02" w:rsidRDefault="005F5B25">
            <w:pPr>
              <w:pStyle w:val="TableParagraph"/>
              <w:spacing w:line="242" w:lineRule="auto"/>
              <w:ind w:left="114" w:right="135"/>
              <w:rPr>
                <w:sz w:val="20"/>
              </w:rPr>
            </w:pPr>
            <w:r>
              <w:rPr>
                <w:sz w:val="20"/>
              </w:rPr>
              <w:t>1) construction of health posts and housing units for HSAs; 2) bicycles and motorcycles to CHWs; 3) scale-up of electronic supply and drug</w:t>
            </w:r>
          </w:p>
          <w:p w:rsidR="00B73B02" w:rsidRDefault="005F5B25">
            <w:pPr>
              <w:pStyle w:val="TableParagraph"/>
              <w:ind w:left="114" w:right="563"/>
              <w:rPr>
                <w:sz w:val="20"/>
              </w:rPr>
            </w:pPr>
            <w:r>
              <w:rPr>
                <w:sz w:val="20"/>
              </w:rPr>
              <w:t>management to cover all community health.</w:t>
            </w:r>
          </w:p>
          <w:p w:rsidR="00B73B02" w:rsidRDefault="00B73B02">
            <w:pPr>
              <w:pStyle w:val="TableParagraph"/>
              <w:rPr>
                <w:rFonts w:ascii="Calibri"/>
                <w:sz w:val="18"/>
              </w:rPr>
            </w:pPr>
          </w:p>
          <w:p w:rsidR="00B73B02" w:rsidRDefault="005F5B25">
            <w:pPr>
              <w:pStyle w:val="TableParagraph"/>
              <w:ind w:left="114"/>
              <w:rPr>
                <w:sz w:val="20"/>
              </w:rPr>
            </w:pPr>
            <w:r>
              <w:rPr>
                <w:b/>
                <w:sz w:val="20"/>
              </w:rPr>
              <w:t xml:space="preserve">Target 2022: </w:t>
            </w:r>
            <w:r>
              <w:rPr>
                <w:sz w:val="20"/>
              </w:rPr>
              <w:t>95% of HSAs</w:t>
            </w:r>
          </w:p>
          <w:p w:rsidR="00B73B02" w:rsidRDefault="005F5B25">
            <w:pPr>
              <w:pStyle w:val="TableParagraph"/>
              <w:spacing w:before="10"/>
              <w:ind w:left="114"/>
              <w:rPr>
                <w:sz w:val="20"/>
              </w:rPr>
            </w:pPr>
            <w:r>
              <w:rPr>
                <w:sz w:val="20"/>
              </w:rPr>
              <w:t>have a high quality, durable bicycles; 900 health posts are</w:t>
            </w:r>
          </w:p>
        </w:tc>
        <w:tc>
          <w:tcPr>
            <w:tcW w:w="4717" w:type="dxa"/>
            <w:tcBorders>
              <w:top w:val="single" w:sz="6" w:space="0" w:color="000000"/>
              <w:bottom w:val="single" w:sz="6" w:space="0" w:color="000000"/>
            </w:tcBorders>
          </w:tcPr>
          <w:p w:rsidR="00B73B02" w:rsidRDefault="005F5B25">
            <w:pPr>
              <w:pStyle w:val="TableParagraph"/>
              <w:spacing w:line="204" w:lineRule="exact"/>
              <w:ind w:left="142"/>
              <w:rPr>
                <w:sz w:val="20"/>
              </w:rPr>
            </w:pPr>
            <w:r>
              <w:rPr>
                <w:sz w:val="20"/>
              </w:rPr>
              <w:t>CBOs/FBOs reported experiencing financial and resource</w:t>
            </w:r>
          </w:p>
          <w:p w:rsidR="00B73B02" w:rsidRDefault="005F5B25">
            <w:pPr>
              <w:pStyle w:val="TableParagraph"/>
              <w:ind w:left="142" w:right="128"/>
              <w:rPr>
                <w:sz w:val="20"/>
              </w:rPr>
            </w:pPr>
            <w:r>
              <w:rPr>
                <w:sz w:val="20"/>
              </w:rPr>
              <w:t>gaps to implement their activities, once project funds were withdrawn e.g. refills for home-based care kits, transport/bicycle ambulance for critical patients were no longer functioning, and blood pressure monitoring machines were not functional.</w:t>
            </w:r>
          </w:p>
          <w:p w:rsidR="00B73B02" w:rsidRDefault="00B73B02">
            <w:pPr>
              <w:pStyle w:val="TableParagraph"/>
              <w:spacing w:before="1"/>
              <w:rPr>
                <w:rFonts w:ascii="Calibri"/>
                <w:sz w:val="19"/>
              </w:rPr>
            </w:pPr>
          </w:p>
          <w:p w:rsidR="00B73B02" w:rsidRDefault="005F5B25">
            <w:pPr>
              <w:pStyle w:val="TableParagraph"/>
              <w:ind w:left="142" w:right="105"/>
              <w:rPr>
                <w:sz w:val="20"/>
              </w:rPr>
            </w:pPr>
            <w:r>
              <w:rPr>
                <w:sz w:val="20"/>
              </w:rPr>
              <w:t>Funding withdrawal also impacted on the quality of support to beneficiary households, and patients complained they no longer receive ‘tangible’ support from CBO/FBOs (client dissatisfaction).</w:t>
            </w:r>
          </w:p>
          <w:p w:rsidR="00B73B02" w:rsidRDefault="00B73B02">
            <w:pPr>
              <w:pStyle w:val="TableParagraph"/>
              <w:spacing w:before="3"/>
              <w:rPr>
                <w:rFonts w:ascii="Calibri"/>
                <w:sz w:val="18"/>
              </w:rPr>
            </w:pPr>
          </w:p>
          <w:p w:rsidR="00B73B02" w:rsidRDefault="005F5B25">
            <w:pPr>
              <w:pStyle w:val="TableParagraph"/>
              <w:spacing w:before="1"/>
              <w:ind w:left="142"/>
              <w:rPr>
                <w:sz w:val="20"/>
              </w:rPr>
            </w:pPr>
            <w:r>
              <w:rPr>
                <w:sz w:val="20"/>
              </w:rPr>
              <w:t>CBO/FBOs that still received sponsorship from multiple partners and through self-generated income, they were able</w:t>
            </w:r>
          </w:p>
          <w:p w:rsidR="00B73B02" w:rsidRDefault="005F5B25">
            <w:pPr>
              <w:pStyle w:val="TableParagraph"/>
              <w:spacing w:before="9"/>
              <w:ind w:left="142" w:right="224"/>
              <w:rPr>
                <w:sz w:val="20"/>
              </w:rPr>
            </w:pPr>
            <w:r>
              <w:rPr>
                <w:sz w:val="20"/>
              </w:rPr>
              <w:t>to continue implementing their activities. This was attributed to the presence of active and resourceful leaders.</w:t>
            </w:r>
          </w:p>
        </w:tc>
        <w:tc>
          <w:tcPr>
            <w:tcW w:w="3681" w:type="dxa"/>
            <w:tcBorders>
              <w:top w:val="single" w:sz="6" w:space="0" w:color="000000"/>
              <w:bottom w:val="single" w:sz="6" w:space="0" w:color="000000"/>
            </w:tcBorders>
          </w:tcPr>
          <w:p w:rsidR="00B73B02" w:rsidRDefault="005F5B25">
            <w:pPr>
              <w:pStyle w:val="TableParagraph"/>
              <w:spacing w:line="204" w:lineRule="exact"/>
              <w:ind w:left="108"/>
              <w:rPr>
                <w:sz w:val="20"/>
              </w:rPr>
            </w:pPr>
            <w:r>
              <w:rPr>
                <w:sz w:val="20"/>
              </w:rPr>
              <w:t>The focus of the strategy is on provision of</w:t>
            </w:r>
          </w:p>
          <w:p w:rsidR="00B73B02" w:rsidRDefault="005F5B25">
            <w:pPr>
              <w:pStyle w:val="TableParagraph"/>
              <w:ind w:left="108"/>
              <w:rPr>
                <w:sz w:val="20"/>
              </w:rPr>
            </w:pPr>
            <w:r>
              <w:rPr>
                <w:sz w:val="20"/>
              </w:rPr>
              <w:t>consumables (hardware), but there’s need to focus on the “software” and provision of non- monetary incentives in form of training or other forms of capacity-building for all CHT members (including CHVs).</w:t>
            </w:r>
          </w:p>
        </w:tc>
        <w:tc>
          <w:tcPr>
            <w:tcW w:w="4741" w:type="dxa"/>
            <w:tcBorders>
              <w:top w:val="single" w:sz="6" w:space="0" w:color="000000"/>
              <w:bottom w:val="single" w:sz="6" w:space="0" w:color="000000"/>
            </w:tcBorders>
          </w:tcPr>
          <w:p w:rsidR="00B73B02" w:rsidRDefault="005F5B25">
            <w:pPr>
              <w:pStyle w:val="TableParagraph"/>
              <w:spacing w:line="204" w:lineRule="exact"/>
              <w:ind w:left="114"/>
              <w:rPr>
                <w:sz w:val="20"/>
              </w:rPr>
            </w:pPr>
            <w:r>
              <w:rPr>
                <w:sz w:val="20"/>
              </w:rPr>
              <w:t>Generally, health posts have been dormant service delivery</w:t>
            </w:r>
          </w:p>
          <w:p w:rsidR="00B73B02" w:rsidRDefault="005F5B25">
            <w:pPr>
              <w:pStyle w:val="TableParagraph"/>
              <w:ind w:left="114" w:right="111"/>
              <w:rPr>
                <w:sz w:val="20"/>
              </w:rPr>
            </w:pPr>
            <w:r>
              <w:rPr>
                <w:sz w:val="20"/>
              </w:rPr>
              <w:t>structures, and mostly utilised by HSAs to run maternal and child health clinics. In Phalombe district, some implementing partners use these sites for organising health outreach clinics for general population and across all ages. District health</w:t>
            </w:r>
          </w:p>
          <w:p w:rsidR="00B73B02" w:rsidRDefault="005F5B25">
            <w:pPr>
              <w:pStyle w:val="TableParagraph"/>
              <w:spacing w:line="242" w:lineRule="auto"/>
              <w:ind w:left="114" w:right="111"/>
              <w:rPr>
                <w:sz w:val="20"/>
              </w:rPr>
            </w:pPr>
            <w:r>
              <w:rPr>
                <w:sz w:val="20"/>
              </w:rPr>
              <w:t>management teams could set up monthly mobile clinics in health posts, where a team of health professionals offer services, and particularly targeting communities living in hard to reach areas.</w:t>
            </w:r>
          </w:p>
        </w:tc>
      </w:tr>
    </w:tbl>
    <w:p w:rsidR="00B73B02" w:rsidRDefault="00B73B02">
      <w:pPr>
        <w:spacing w:line="242" w:lineRule="auto"/>
        <w:rPr>
          <w:sz w:val="20"/>
        </w:rPr>
        <w:sectPr w:rsidR="00B73B02">
          <w:pgSz w:w="16840" w:h="11910" w:orient="landscape"/>
          <w:pgMar w:top="720" w:right="500" w:bottom="1100" w:left="500" w:header="0" w:footer="915"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529"/>
        <w:gridCol w:w="4674"/>
        <w:gridCol w:w="3691"/>
        <w:gridCol w:w="4737"/>
      </w:tblGrid>
      <w:tr w:rsidR="00B73B02">
        <w:trPr>
          <w:trHeight w:val="893"/>
        </w:trPr>
        <w:tc>
          <w:tcPr>
            <w:tcW w:w="2529"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4"/>
              <w:rPr>
                <w:b/>
                <w:sz w:val="20"/>
              </w:rPr>
            </w:pPr>
            <w:r>
              <w:rPr>
                <w:b/>
                <w:sz w:val="20"/>
              </w:rPr>
              <w:lastRenderedPageBreak/>
              <w:t>National Community Health</w:t>
            </w:r>
          </w:p>
          <w:p w:rsidR="00B73B02" w:rsidRDefault="005F5B25">
            <w:pPr>
              <w:pStyle w:val="TableParagraph"/>
              <w:spacing w:line="228" w:lineRule="exact"/>
              <w:ind w:left="114"/>
              <w:rPr>
                <w:b/>
                <w:sz w:val="20"/>
              </w:rPr>
            </w:pPr>
            <w:r>
              <w:rPr>
                <w:b/>
                <w:sz w:val="20"/>
              </w:rPr>
              <w:t>Strategy</w:t>
            </w:r>
          </w:p>
          <w:p w:rsidR="00B73B02" w:rsidRDefault="005F5B25">
            <w:pPr>
              <w:pStyle w:val="TableParagraph"/>
              <w:numPr>
                <w:ilvl w:val="0"/>
                <w:numId w:val="2"/>
              </w:numPr>
              <w:tabs>
                <w:tab w:val="left" w:pos="259"/>
              </w:tabs>
              <w:spacing w:line="228" w:lineRule="exact"/>
              <w:rPr>
                <w:b/>
                <w:sz w:val="20"/>
              </w:rPr>
            </w:pPr>
            <w:r>
              <w:rPr>
                <w:b/>
                <w:sz w:val="20"/>
              </w:rPr>
              <w:t xml:space="preserve">6 </w:t>
            </w:r>
            <w:r>
              <w:rPr>
                <w:b/>
                <w:spacing w:val="1"/>
                <w:sz w:val="20"/>
              </w:rPr>
              <w:t xml:space="preserve">strategic </w:t>
            </w:r>
            <w:r>
              <w:rPr>
                <w:b/>
                <w:sz w:val="20"/>
              </w:rPr>
              <w:t>objectives</w:t>
            </w:r>
            <w:r>
              <w:rPr>
                <w:b/>
                <w:spacing w:val="-22"/>
                <w:sz w:val="20"/>
              </w:rPr>
              <w:t xml:space="preserve"> </w:t>
            </w:r>
            <w:r>
              <w:rPr>
                <w:b/>
                <w:sz w:val="20"/>
              </w:rPr>
              <w:t>(SO)</w:t>
            </w:r>
          </w:p>
          <w:p w:rsidR="00B73B02" w:rsidRDefault="005F5B25">
            <w:pPr>
              <w:pStyle w:val="TableParagraph"/>
              <w:numPr>
                <w:ilvl w:val="0"/>
                <w:numId w:val="2"/>
              </w:numPr>
              <w:tabs>
                <w:tab w:val="left" w:pos="259"/>
              </w:tabs>
              <w:spacing w:line="229" w:lineRule="exact"/>
              <w:rPr>
                <w:b/>
                <w:sz w:val="20"/>
              </w:rPr>
            </w:pPr>
            <w:r>
              <w:rPr>
                <w:b/>
                <w:sz w:val="20"/>
              </w:rPr>
              <w:t xml:space="preserve">6 </w:t>
            </w:r>
            <w:r>
              <w:rPr>
                <w:b/>
                <w:spacing w:val="1"/>
                <w:sz w:val="20"/>
              </w:rPr>
              <w:t xml:space="preserve">guiding </w:t>
            </w:r>
            <w:r>
              <w:rPr>
                <w:b/>
                <w:spacing w:val="-3"/>
                <w:sz w:val="20"/>
              </w:rPr>
              <w:t>principles</w:t>
            </w:r>
            <w:r>
              <w:rPr>
                <w:b/>
                <w:spacing w:val="-6"/>
                <w:sz w:val="20"/>
              </w:rPr>
              <w:t xml:space="preserve"> </w:t>
            </w:r>
            <w:r>
              <w:rPr>
                <w:b/>
                <w:sz w:val="20"/>
              </w:rPr>
              <w:t>(GP)</w:t>
            </w:r>
          </w:p>
        </w:tc>
        <w:tc>
          <w:tcPr>
            <w:tcW w:w="4674" w:type="dxa"/>
            <w:tcBorders>
              <w:top w:val="single" w:sz="6" w:space="0" w:color="000000"/>
              <w:bottom w:val="single" w:sz="6" w:space="0" w:color="000000"/>
            </w:tcBorders>
            <w:shd w:val="clear" w:color="auto" w:fill="F1F1F1"/>
          </w:tcPr>
          <w:p w:rsidR="00B73B02" w:rsidRDefault="005F5B25">
            <w:pPr>
              <w:pStyle w:val="TableParagraph"/>
              <w:spacing w:line="205" w:lineRule="exact"/>
              <w:ind w:left="107"/>
              <w:rPr>
                <w:b/>
                <w:i/>
                <w:sz w:val="20"/>
              </w:rPr>
            </w:pPr>
            <w:r>
              <w:rPr>
                <w:b/>
                <w:i/>
                <w:sz w:val="20"/>
              </w:rPr>
              <w:t>Synthesis of data from research on community home-</w:t>
            </w:r>
          </w:p>
          <w:p w:rsidR="00B73B02" w:rsidRDefault="005F5B25">
            <w:pPr>
              <w:pStyle w:val="TableParagraph"/>
              <w:ind w:left="107" w:right="186"/>
              <w:rPr>
                <w:b/>
                <w:i/>
                <w:sz w:val="20"/>
              </w:rPr>
            </w:pPr>
            <w:r>
              <w:rPr>
                <w:b/>
                <w:i/>
                <w:sz w:val="20"/>
              </w:rPr>
              <w:t>based care programmes role in chronic care in Phalombe district, Malawi</w:t>
            </w:r>
          </w:p>
        </w:tc>
        <w:tc>
          <w:tcPr>
            <w:tcW w:w="3691"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6"/>
              <w:rPr>
                <w:b/>
                <w:sz w:val="20"/>
              </w:rPr>
            </w:pPr>
            <w:r>
              <w:rPr>
                <w:b/>
                <w:sz w:val="20"/>
              </w:rPr>
              <w:t>What are the current gaps in the strategy</w:t>
            </w:r>
          </w:p>
          <w:p w:rsidR="00B73B02" w:rsidRDefault="005F5B25">
            <w:pPr>
              <w:pStyle w:val="TableParagraph"/>
              <w:spacing w:line="229" w:lineRule="exact"/>
              <w:ind w:left="116"/>
              <w:rPr>
                <w:b/>
                <w:i/>
                <w:sz w:val="20"/>
              </w:rPr>
            </w:pPr>
            <w:r>
              <w:rPr>
                <w:b/>
                <w:sz w:val="20"/>
              </w:rPr>
              <w:t xml:space="preserve">- </w:t>
            </w:r>
            <w:r>
              <w:rPr>
                <w:b/>
                <w:i/>
                <w:sz w:val="20"/>
              </w:rPr>
              <w:t>challenges for implementation</w:t>
            </w:r>
          </w:p>
        </w:tc>
        <w:tc>
          <w:tcPr>
            <w:tcW w:w="4737"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2"/>
              <w:rPr>
                <w:b/>
                <w:i/>
                <w:sz w:val="20"/>
              </w:rPr>
            </w:pPr>
            <w:r>
              <w:rPr>
                <w:b/>
                <w:i/>
                <w:sz w:val="20"/>
              </w:rPr>
              <w:t>Recommendations and opportunities to explore</w:t>
            </w:r>
          </w:p>
          <w:p w:rsidR="00B73B02" w:rsidRDefault="005F5B25">
            <w:pPr>
              <w:pStyle w:val="TableParagraph"/>
              <w:spacing w:line="229" w:lineRule="exact"/>
              <w:ind w:left="112"/>
              <w:rPr>
                <w:b/>
                <w:i/>
                <w:sz w:val="20"/>
              </w:rPr>
            </w:pPr>
            <w:r>
              <w:rPr>
                <w:b/>
                <w:i/>
                <w:sz w:val="20"/>
              </w:rPr>
              <w:t>- as stated in the strategy and research synthesis</w:t>
            </w:r>
          </w:p>
        </w:tc>
      </w:tr>
      <w:tr w:rsidR="00B73B02">
        <w:trPr>
          <w:trHeight w:val="912"/>
        </w:trPr>
        <w:tc>
          <w:tcPr>
            <w:tcW w:w="2529" w:type="dxa"/>
            <w:tcBorders>
              <w:top w:val="single" w:sz="6" w:space="0" w:color="000000"/>
              <w:bottom w:val="single" w:sz="6" w:space="0" w:color="000000"/>
            </w:tcBorders>
          </w:tcPr>
          <w:p w:rsidR="00B73B02" w:rsidRDefault="005F5B25">
            <w:pPr>
              <w:pStyle w:val="TableParagraph"/>
              <w:spacing w:line="205" w:lineRule="exact"/>
              <w:ind w:left="114"/>
              <w:rPr>
                <w:sz w:val="20"/>
              </w:rPr>
            </w:pPr>
            <w:r>
              <w:rPr>
                <w:sz w:val="20"/>
              </w:rPr>
              <w:t>operational and supporting</w:t>
            </w:r>
          </w:p>
          <w:p w:rsidR="00B73B02" w:rsidRDefault="005F5B25">
            <w:pPr>
              <w:pStyle w:val="TableParagraph"/>
              <w:ind w:left="114"/>
              <w:rPr>
                <w:sz w:val="20"/>
              </w:rPr>
            </w:pPr>
            <w:r>
              <w:rPr>
                <w:sz w:val="20"/>
              </w:rPr>
              <w:t>integrated community health service delivery in hard to</w:t>
            </w:r>
          </w:p>
          <w:p w:rsidR="00B73B02" w:rsidRDefault="005F5B25">
            <w:pPr>
              <w:pStyle w:val="TableParagraph"/>
              <w:spacing w:before="8"/>
              <w:ind w:left="114"/>
              <w:rPr>
                <w:sz w:val="20"/>
              </w:rPr>
            </w:pPr>
            <w:r>
              <w:rPr>
                <w:sz w:val="20"/>
              </w:rPr>
              <w:t>reach areas</w:t>
            </w:r>
          </w:p>
        </w:tc>
        <w:tc>
          <w:tcPr>
            <w:tcW w:w="4674" w:type="dxa"/>
            <w:tcBorders>
              <w:top w:val="single" w:sz="6" w:space="0" w:color="000000"/>
              <w:bottom w:val="single" w:sz="6" w:space="0" w:color="000000"/>
            </w:tcBorders>
          </w:tcPr>
          <w:p w:rsidR="00B73B02" w:rsidRDefault="00B73B02">
            <w:pPr>
              <w:pStyle w:val="TableParagraph"/>
              <w:rPr>
                <w:rFonts w:ascii="Times New Roman"/>
                <w:sz w:val="20"/>
              </w:rPr>
            </w:pPr>
          </w:p>
        </w:tc>
        <w:tc>
          <w:tcPr>
            <w:tcW w:w="3691" w:type="dxa"/>
            <w:tcBorders>
              <w:top w:val="single" w:sz="6" w:space="0" w:color="000000"/>
              <w:bottom w:val="single" w:sz="6" w:space="0" w:color="000000"/>
            </w:tcBorders>
          </w:tcPr>
          <w:p w:rsidR="00B73B02" w:rsidRDefault="00B73B02">
            <w:pPr>
              <w:pStyle w:val="TableParagraph"/>
              <w:rPr>
                <w:rFonts w:ascii="Times New Roman"/>
                <w:sz w:val="20"/>
              </w:rPr>
            </w:pPr>
          </w:p>
        </w:tc>
        <w:tc>
          <w:tcPr>
            <w:tcW w:w="4737" w:type="dxa"/>
            <w:tcBorders>
              <w:top w:val="single" w:sz="6" w:space="0" w:color="000000"/>
              <w:bottom w:val="single" w:sz="6" w:space="0" w:color="000000"/>
            </w:tcBorders>
          </w:tcPr>
          <w:p w:rsidR="00B73B02" w:rsidRDefault="00B73B02">
            <w:pPr>
              <w:pStyle w:val="TableParagraph"/>
              <w:rPr>
                <w:rFonts w:ascii="Times New Roman"/>
                <w:sz w:val="20"/>
              </w:rPr>
            </w:pPr>
          </w:p>
        </w:tc>
      </w:tr>
      <w:tr w:rsidR="00B73B02">
        <w:trPr>
          <w:trHeight w:val="7134"/>
        </w:trPr>
        <w:tc>
          <w:tcPr>
            <w:tcW w:w="2529" w:type="dxa"/>
            <w:tcBorders>
              <w:top w:val="single" w:sz="6" w:space="0" w:color="000000"/>
              <w:bottom w:val="single" w:sz="6" w:space="0" w:color="000000"/>
            </w:tcBorders>
          </w:tcPr>
          <w:p w:rsidR="00B73B02" w:rsidRDefault="005F5B25">
            <w:pPr>
              <w:pStyle w:val="TableParagraph"/>
              <w:spacing w:line="194" w:lineRule="exact"/>
              <w:ind w:left="114"/>
              <w:rPr>
                <w:b/>
                <w:sz w:val="20"/>
              </w:rPr>
            </w:pPr>
            <w:r>
              <w:rPr>
                <w:b/>
                <w:sz w:val="20"/>
              </w:rPr>
              <w:t>F. COORDINATION,</w:t>
            </w:r>
          </w:p>
          <w:p w:rsidR="00B73B02" w:rsidRDefault="005F5B25">
            <w:pPr>
              <w:pStyle w:val="TableParagraph"/>
              <w:spacing w:before="10" w:line="229" w:lineRule="exact"/>
              <w:ind w:left="114"/>
              <w:rPr>
                <w:b/>
                <w:sz w:val="20"/>
              </w:rPr>
            </w:pPr>
            <w:r>
              <w:rPr>
                <w:b/>
                <w:sz w:val="20"/>
              </w:rPr>
              <w:t>PARTNERSHIP AND</w:t>
            </w:r>
          </w:p>
          <w:p w:rsidR="00B73B02" w:rsidRDefault="005F5B25">
            <w:pPr>
              <w:pStyle w:val="TableParagraph"/>
              <w:spacing w:line="229" w:lineRule="exact"/>
              <w:ind w:left="114"/>
              <w:rPr>
                <w:b/>
                <w:sz w:val="20"/>
              </w:rPr>
            </w:pPr>
            <w:r>
              <w:rPr>
                <w:b/>
                <w:sz w:val="20"/>
              </w:rPr>
              <w:t>COMMUNITY ENGAGEMENT</w:t>
            </w:r>
          </w:p>
          <w:p w:rsidR="00B73B02" w:rsidRDefault="00B73B02">
            <w:pPr>
              <w:pStyle w:val="TableParagraph"/>
              <w:spacing w:before="7"/>
              <w:rPr>
                <w:rFonts w:ascii="Calibri"/>
                <w:sz w:val="18"/>
              </w:rPr>
            </w:pPr>
          </w:p>
          <w:p w:rsidR="00B73B02" w:rsidRDefault="005F5B25">
            <w:pPr>
              <w:pStyle w:val="TableParagraph"/>
              <w:spacing w:line="229" w:lineRule="exact"/>
              <w:ind w:left="114"/>
              <w:rPr>
                <w:b/>
                <w:sz w:val="20"/>
              </w:rPr>
            </w:pPr>
            <w:r>
              <w:rPr>
                <w:b/>
                <w:sz w:val="20"/>
              </w:rPr>
              <w:t>SO6 key interventions:</w:t>
            </w:r>
          </w:p>
          <w:p w:rsidR="00B73B02" w:rsidRDefault="005F5B25">
            <w:pPr>
              <w:pStyle w:val="TableParagraph"/>
              <w:ind w:left="114" w:right="83"/>
              <w:rPr>
                <w:sz w:val="20"/>
              </w:rPr>
            </w:pPr>
            <w:r>
              <w:rPr>
                <w:sz w:val="20"/>
              </w:rPr>
              <w:t>1) Scaling up the coordinating function of the Community Health Strategy section at national level; 2) recruiting a Community Health Officer (CHO) for each district; 3) strengthening community-level coordination through</w:t>
            </w:r>
          </w:p>
          <w:p w:rsidR="00B73B02" w:rsidRDefault="005F5B25">
            <w:pPr>
              <w:pStyle w:val="TableParagraph"/>
              <w:spacing w:before="2" w:line="242" w:lineRule="auto"/>
              <w:ind w:left="114" w:right="83"/>
              <w:rPr>
                <w:sz w:val="20"/>
              </w:rPr>
            </w:pPr>
            <w:r>
              <w:rPr>
                <w:sz w:val="20"/>
              </w:rPr>
              <w:t>community health advisory groups and CHTs; 4) hosting regular coordination meetings between stakeholders at all levels</w:t>
            </w:r>
          </w:p>
          <w:p w:rsidR="00B73B02" w:rsidRDefault="00B73B02">
            <w:pPr>
              <w:pStyle w:val="TableParagraph"/>
              <w:spacing w:before="2"/>
              <w:rPr>
                <w:rFonts w:ascii="Calibri"/>
                <w:sz w:val="18"/>
              </w:rPr>
            </w:pPr>
          </w:p>
          <w:p w:rsidR="00B73B02" w:rsidRDefault="005F5B25">
            <w:pPr>
              <w:pStyle w:val="TableParagraph"/>
              <w:ind w:left="114" w:right="106"/>
              <w:rPr>
                <w:sz w:val="20"/>
              </w:rPr>
            </w:pPr>
            <w:r>
              <w:rPr>
                <w:b/>
                <w:spacing w:val="1"/>
                <w:sz w:val="20"/>
              </w:rPr>
              <w:t xml:space="preserve">Target </w:t>
            </w:r>
            <w:r>
              <w:rPr>
                <w:b/>
                <w:sz w:val="20"/>
              </w:rPr>
              <w:t xml:space="preserve">2022: </w:t>
            </w:r>
            <w:r>
              <w:rPr>
                <w:sz w:val="20"/>
              </w:rPr>
              <w:t xml:space="preserve">community </w:t>
            </w:r>
            <w:r>
              <w:rPr>
                <w:spacing w:val="-6"/>
                <w:sz w:val="20"/>
              </w:rPr>
              <w:t xml:space="preserve">health </w:t>
            </w:r>
            <w:r>
              <w:rPr>
                <w:sz w:val="20"/>
              </w:rPr>
              <w:t xml:space="preserve">actors </w:t>
            </w:r>
            <w:r>
              <w:rPr>
                <w:spacing w:val="-5"/>
                <w:sz w:val="20"/>
              </w:rPr>
              <w:t xml:space="preserve">will </w:t>
            </w:r>
            <w:r>
              <w:rPr>
                <w:sz w:val="20"/>
              </w:rPr>
              <w:t xml:space="preserve">have completed </w:t>
            </w:r>
            <w:r>
              <w:rPr>
                <w:spacing w:val="-6"/>
                <w:sz w:val="20"/>
              </w:rPr>
              <w:t xml:space="preserve">80% </w:t>
            </w:r>
            <w:r>
              <w:rPr>
                <w:sz w:val="20"/>
              </w:rPr>
              <w:t xml:space="preserve">of all agreed-upon </w:t>
            </w:r>
            <w:r>
              <w:rPr>
                <w:spacing w:val="-3"/>
                <w:sz w:val="20"/>
              </w:rPr>
              <w:t xml:space="preserve">coordination activities </w:t>
            </w:r>
            <w:r>
              <w:rPr>
                <w:sz w:val="20"/>
              </w:rPr>
              <w:t xml:space="preserve">and milestones. 70% of Village </w:t>
            </w:r>
            <w:r>
              <w:rPr>
                <w:spacing w:val="-2"/>
                <w:sz w:val="20"/>
              </w:rPr>
              <w:t xml:space="preserve">Health </w:t>
            </w:r>
            <w:r>
              <w:rPr>
                <w:sz w:val="20"/>
              </w:rPr>
              <w:t xml:space="preserve">Committees (VHCs) are meeting regularly on a monthly basis </w:t>
            </w:r>
            <w:r>
              <w:rPr>
                <w:spacing w:val="-6"/>
                <w:sz w:val="20"/>
              </w:rPr>
              <w:t xml:space="preserve">to </w:t>
            </w:r>
            <w:r>
              <w:rPr>
                <w:sz w:val="20"/>
              </w:rPr>
              <w:t xml:space="preserve">support community health </w:t>
            </w:r>
            <w:r>
              <w:rPr>
                <w:spacing w:val="-3"/>
                <w:sz w:val="20"/>
              </w:rPr>
              <w:t xml:space="preserve">activities </w:t>
            </w:r>
            <w:r>
              <w:rPr>
                <w:sz w:val="20"/>
              </w:rPr>
              <w:t xml:space="preserve">and </w:t>
            </w:r>
            <w:r>
              <w:rPr>
                <w:spacing w:val="-3"/>
                <w:sz w:val="20"/>
              </w:rPr>
              <w:t xml:space="preserve">that </w:t>
            </w:r>
            <w:r>
              <w:rPr>
                <w:sz w:val="20"/>
              </w:rPr>
              <w:t>70% of CHAGs and health centre advisory committees (HCACs) are</w:t>
            </w:r>
            <w:r>
              <w:rPr>
                <w:spacing w:val="-12"/>
                <w:sz w:val="20"/>
              </w:rPr>
              <w:t xml:space="preserve"> </w:t>
            </w:r>
            <w:r>
              <w:rPr>
                <w:sz w:val="20"/>
              </w:rPr>
              <w:t>active.</w:t>
            </w:r>
          </w:p>
        </w:tc>
        <w:tc>
          <w:tcPr>
            <w:tcW w:w="4674" w:type="dxa"/>
            <w:tcBorders>
              <w:top w:val="single" w:sz="6" w:space="0" w:color="000000"/>
              <w:bottom w:val="single" w:sz="6" w:space="0" w:color="000000"/>
            </w:tcBorders>
          </w:tcPr>
          <w:p w:rsidR="00B73B02" w:rsidRDefault="005F5B25">
            <w:pPr>
              <w:pStyle w:val="TableParagraph"/>
              <w:spacing w:line="194" w:lineRule="exact"/>
              <w:ind w:left="107"/>
              <w:rPr>
                <w:sz w:val="20"/>
              </w:rPr>
            </w:pPr>
            <w:r>
              <w:rPr>
                <w:sz w:val="20"/>
              </w:rPr>
              <w:t>Previously, community health related activities in the district</w:t>
            </w:r>
          </w:p>
          <w:p w:rsidR="00B73B02" w:rsidRDefault="005F5B25">
            <w:pPr>
              <w:pStyle w:val="TableParagraph"/>
              <w:spacing w:before="10"/>
              <w:ind w:left="107" w:right="186"/>
              <w:rPr>
                <w:sz w:val="20"/>
              </w:rPr>
            </w:pPr>
            <w:r>
              <w:rPr>
                <w:spacing w:val="-3"/>
                <w:sz w:val="20"/>
              </w:rPr>
              <w:t xml:space="preserve">fell </w:t>
            </w:r>
            <w:r>
              <w:rPr>
                <w:sz w:val="20"/>
              </w:rPr>
              <w:t xml:space="preserve">under </w:t>
            </w:r>
            <w:r>
              <w:rPr>
                <w:spacing w:val="-4"/>
                <w:sz w:val="20"/>
              </w:rPr>
              <w:t xml:space="preserve">the </w:t>
            </w:r>
            <w:r>
              <w:rPr>
                <w:sz w:val="20"/>
              </w:rPr>
              <w:t xml:space="preserve">responsibilities of different district </w:t>
            </w:r>
            <w:r>
              <w:rPr>
                <w:spacing w:val="-3"/>
                <w:sz w:val="20"/>
              </w:rPr>
              <w:t xml:space="preserve">officers </w:t>
            </w:r>
            <w:r>
              <w:rPr>
                <w:sz w:val="20"/>
              </w:rPr>
              <w:t xml:space="preserve">e.g. district health promotion </w:t>
            </w:r>
            <w:r>
              <w:rPr>
                <w:spacing w:val="-3"/>
                <w:sz w:val="20"/>
              </w:rPr>
              <w:t xml:space="preserve">officer, </w:t>
            </w:r>
            <w:r>
              <w:rPr>
                <w:sz w:val="20"/>
              </w:rPr>
              <w:t xml:space="preserve">district environmental health </w:t>
            </w:r>
            <w:r>
              <w:rPr>
                <w:spacing w:val="-3"/>
                <w:sz w:val="20"/>
              </w:rPr>
              <w:t xml:space="preserve">officer, </w:t>
            </w:r>
            <w:r>
              <w:rPr>
                <w:sz w:val="20"/>
              </w:rPr>
              <w:t xml:space="preserve">palliative care coordinator, and </w:t>
            </w:r>
            <w:r>
              <w:rPr>
                <w:spacing w:val="-4"/>
                <w:sz w:val="20"/>
              </w:rPr>
              <w:t xml:space="preserve">the </w:t>
            </w:r>
            <w:r>
              <w:rPr>
                <w:sz w:val="20"/>
              </w:rPr>
              <w:t xml:space="preserve">district </w:t>
            </w:r>
            <w:r>
              <w:rPr>
                <w:spacing w:val="-4"/>
                <w:sz w:val="20"/>
              </w:rPr>
              <w:t xml:space="preserve">AIDS </w:t>
            </w:r>
            <w:r>
              <w:rPr>
                <w:sz w:val="20"/>
              </w:rPr>
              <w:t xml:space="preserve">coordinator. The </w:t>
            </w:r>
            <w:r>
              <w:rPr>
                <w:spacing w:val="-4"/>
                <w:sz w:val="20"/>
              </w:rPr>
              <w:t xml:space="preserve">latter </w:t>
            </w:r>
            <w:r>
              <w:rPr>
                <w:spacing w:val="-3"/>
                <w:sz w:val="20"/>
              </w:rPr>
              <w:t xml:space="preserve">were </w:t>
            </w:r>
            <w:r>
              <w:rPr>
                <w:sz w:val="20"/>
              </w:rPr>
              <w:t xml:space="preserve">actively engaged in community- based </w:t>
            </w:r>
            <w:r>
              <w:rPr>
                <w:spacing w:val="-4"/>
                <w:sz w:val="20"/>
              </w:rPr>
              <w:t xml:space="preserve">HIV </w:t>
            </w:r>
            <w:r>
              <w:rPr>
                <w:sz w:val="20"/>
              </w:rPr>
              <w:t xml:space="preserve">related </w:t>
            </w:r>
            <w:r>
              <w:rPr>
                <w:spacing w:val="-3"/>
                <w:sz w:val="20"/>
              </w:rPr>
              <w:t xml:space="preserve">activities, </w:t>
            </w:r>
            <w:r>
              <w:rPr>
                <w:spacing w:val="-7"/>
                <w:sz w:val="20"/>
              </w:rPr>
              <w:t xml:space="preserve">with </w:t>
            </w:r>
            <w:r>
              <w:rPr>
                <w:sz w:val="20"/>
              </w:rPr>
              <w:t xml:space="preserve">CHBC programmes and implementing partners </w:t>
            </w:r>
            <w:r>
              <w:rPr>
                <w:spacing w:val="-3"/>
                <w:sz w:val="20"/>
              </w:rPr>
              <w:t xml:space="preserve">expected </w:t>
            </w:r>
            <w:r>
              <w:rPr>
                <w:spacing w:val="-6"/>
                <w:sz w:val="20"/>
              </w:rPr>
              <w:t xml:space="preserve">to </w:t>
            </w:r>
            <w:r>
              <w:rPr>
                <w:sz w:val="20"/>
              </w:rPr>
              <w:t xml:space="preserve">report and coordinate </w:t>
            </w:r>
            <w:r>
              <w:rPr>
                <w:spacing w:val="-3"/>
                <w:sz w:val="20"/>
              </w:rPr>
              <w:t xml:space="preserve">their activities </w:t>
            </w:r>
            <w:r>
              <w:rPr>
                <w:sz w:val="20"/>
              </w:rPr>
              <w:t xml:space="preserve">through </w:t>
            </w:r>
            <w:r>
              <w:rPr>
                <w:spacing w:val="-3"/>
                <w:sz w:val="20"/>
              </w:rPr>
              <w:t>this</w:t>
            </w:r>
            <w:r>
              <w:rPr>
                <w:spacing w:val="1"/>
                <w:sz w:val="20"/>
              </w:rPr>
              <w:t xml:space="preserve"> </w:t>
            </w:r>
            <w:r>
              <w:rPr>
                <w:spacing w:val="-4"/>
                <w:sz w:val="20"/>
              </w:rPr>
              <w:t>office.</w:t>
            </w:r>
          </w:p>
          <w:p w:rsidR="00B73B02" w:rsidRDefault="00B73B02">
            <w:pPr>
              <w:pStyle w:val="TableParagraph"/>
              <w:rPr>
                <w:rFonts w:ascii="Calibri"/>
                <w:sz w:val="19"/>
              </w:rPr>
            </w:pPr>
          </w:p>
          <w:p w:rsidR="00B73B02" w:rsidRDefault="005F5B25">
            <w:pPr>
              <w:pStyle w:val="TableParagraph"/>
              <w:ind w:left="107" w:right="28"/>
              <w:rPr>
                <w:sz w:val="20"/>
              </w:rPr>
            </w:pPr>
            <w:r>
              <w:rPr>
                <w:sz w:val="20"/>
              </w:rPr>
              <w:t>The CBOs/FBOs reported they linked up with community leaders e.g. local chiefs, area development committees, and village development committees. For instance, CBO/FBOs liaised with local chiefs in coordinating community HIV activities such as HIV/AIDS awareness campaigns,</w:t>
            </w:r>
          </w:p>
          <w:p w:rsidR="00B73B02" w:rsidRDefault="005F5B25">
            <w:pPr>
              <w:pStyle w:val="TableParagraph"/>
              <w:spacing w:line="223" w:lineRule="exact"/>
              <w:ind w:left="107"/>
              <w:rPr>
                <w:sz w:val="20"/>
              </w:rPr>
            </w:pPr>
            <w:r>
              <w:rPr>
                <w:sz w:val="20"/>
              </w:rPr>
              <w:t>mobilisation for counselling and testing.</w:t>
            </w:r>
          </w:p>
          <w:p w:rsidR="00B73B02" w:rsidRDefault="00B73B02">
            <w:pPr>
              <w:pStyle w:val="TableParagraph"/>
              <w:spacing w:before="7"/>
              <w:rPr>
                <w:rFonts w:ascii="Calibri"/>
                <w:sz w:val="18"/>
              </w:rPr>
            </w:pPr>
          </w:p>
          <w:p w:rsidR="00B73B02" w:rsidRDefault="005F5B25">
            <w:pPr>
              <w:pStyle w:val="TableParagraph"/>
              <w:spacing w:line="242" w:lineRule="auto"/>
              <w:ind w:left="107" w:right="186"/>
              <w:rPr>
                <w:sz w:val="20"/>
              </w:rPr>
            </w:pPr>
            <w:r>
              <w:rPr>
                <w:sz w:val="20"/>
              </w:rPr>
              <w:t>A concern raised by CBO/FBO volunteers was the overlapping activities with other community-based groups/committees. For instance the area and village development committees were at times approached to</w:t>
            </w:r>
          </w:p>
          <w:p w:rsidR="00B73B02" w:rsidRDefault="005F5B25">
            <w:pPr>
              <w:pStyle w:val="TableParagraph"/>
              <w:spacing w:line="237" w:lineRule="auto"/>
              <w:ind w:left="107"/>
              <w:rPr>
                <w:sz w:val="20"/>
              </w:rPr>
            </w:pPr>
            <w:r>
              <w:rPr>
                <w:sz w:val="20"/>
              </w:rPr>
              <w:t>implement health related tasks – similar functions as those of CBO/FBOs, which led to tensions in work relations.</w:t>
            </w:r>
          </w:p>
          <w:p w:rsidR="00B73B02" w:rsidRDefault="00B73B02">
            <w:pPr>
              <w:pStyle w:val="TableParagraph"/>
              <w:spacing w:before="8"/>
              <w:rPr>
                <w:rFonts w:ascii="Calibri"/>
                <w:sz w:val="18"/>
              </w:rPr>
            </w:pPr>
          </w:p>
          <w:p w:rsidR="00B73B02" w:rsidRDefault="005F5B25">
            <w:pPr>
              <w:pStyle w:val="TableParagraph"/>
              <w:spacing w:line="244" w:lineRule="auto"/>
              <w:ind w:left="107" w:right="186"/>
              <w:rPr>
                <w:sz w:val="20"/>
              </w:rPr>
            </w:pPr>
            <w:r>
              <w:rPr>
                <w:sz w:val="20"/>
              </w:rPr>
              <w:t>CBO/FBOs work closely with patient support groups and other patient organisations (such as National Association of People Living with HIV - NAPHAM).</w:t>
            </w:r>
          </w:p>
          <w:p w:rsidR="00B73B02" w:rsidRDefault="00B73B02">
            <w:pPr>
              <w:pStyle w:val="TableParagraph"/>
              <w:spacing w:before="3"/>
              <w:rPr>
                <w:rFonts w:ascii="Calibri"/>
                <w:sz w:val="18"/>
              </w:rPr>
            </w:pPr>
          </w:p>
          <w:p w:rsidR="00B73B02" w:rsidRDefault="005F5B25">
            <w:pPr>
              <w:pStyle w:val="TableParagraph"/>
              <w:ind w:left="107" w:right="298"/>
              <w:rPr>
                <w:sz w:val="20"/>
              </w:rPr>
            </w:pPr>
            <w:r>
              <w:rPr>
                <w:sz w:val="20"/>
              </w:rPr>
              <w:t>In Phalombe district, a unique forum existed where all CBO/FBOs in the district met monthly with representative from social welfare and district AIDS coordinators office, to disseminate reports and discuss CBO/FBO issues.</w:t>
            </w:r>
          </w:p>
        </w:tc>
        <w:tc>
          <w:tcPr>
            <w:tcW w:w="3691" w:type="dxa"/>
            <w:tcBorders>
              <w:top w:val="single" w:sz="6" w:space="0" w:color="000000"/>
              <w:bottom w:val="single" w:sz="6" w:space="0" w:color="000000"/>
            </w:tcBorders>
          </w:tcPr>
          <w:p w:rsidR="00B73B02" w:rsidRDefault="005F5B25">
            <w:pPr>
              <w:pStyle w:val="TableParagraph"/>
              <w:spacing w:line="194" w:lineRule="exact"/>
              <w:ind w:left="116"/>
              <w:rPr>
                <w:sz w:val="20"/>
              </w:rPr>
            </w:pPr>
            <w:r>
              <w:rPr>
                <w:sz w:val="20"/>
              </w:rPr>
              <w:t>Some foreseeable challenges highlighted in the</w:t>
            </w:r>
          </w:p>
          <w:p w:rsidR="00B73B02" w:rsidRDefault="005F5B25">
            <w:pPr>
              <w:pStyle w:val="TableParagraph"/>
              <w:spacing w:before="10"/>
              <w:ind w:left="116"/>
              <w:rPr>
                <w:sz w:val="20"/>
              </w:rPr>
            </w:pPr>
            <w:r>
              <w:rPr>
                <w:sz w:val="20"/>
              </w:rPr>
              <w:t>strategy include district health officers (and authorities) lack sufficient oversight over implementing partners’ activities in their</w:t>
            </w:r>
          </w:p>
          <w:p w:rsidR="00B73B02" w:rsidRDefault="005F5B25">
            <w:pPr>
              <w:pStyle w:val="TableParagraph"/>
              <w:spacing w:line="237" w:lineRule="auto"/>
              <w:ind w:left="116" w:right="135"/>
              <w:rPr>
                <w:sz w:val="20"/>
              </w:rPr>
            </w:pPr>
            <w:r>
              <w:rPr>
                <w:sz w:val="20"/>
              </w:rPr>
              <w:t xml:space="preserve">jurisdiction, </w:t>
            </w:r>
            <w:r>
              <w:rPr>
                <w:spacing w:val="-3"/>
                <w:sz w:val="20"/>
              </w:rPr>
              <w:t xml:space="preserve">which </w:t>
            </w:r>
            <w:r>
              <w:rPr>
                <w:sz w:val="20"/>
              </w:rPr>
              <w:t xml:space="preserve">results in poor coordination of programmes. The lack of clear guidelines on devolution means </w:t>
            </w:r>
            <w:r>
              <w:rPr>
                <w:spacing w:val="-3"/>
                <w:sz w:val="20"/>
              </w:rPr>
              <w:t xml:space="preserve">that </w:t>
            </w:r>
            <w:r>
              <w:rPr>
                <w:sz w:val="20"/>
              </w:rPr>
              <w:t>oversight roles of governance structures across</w:t>
            </w:r>
            <w:r>
              <w:rPr>
                <w:spacing w:val="-32"/>
                <w:sz w:val="20"/>
              </w:rPr>
              <w:t xml:space="preserve"> </w:t>
            </w:r>
            <w:r>
              <w:rPr>
                <w:spacing w:val="-4"/>
                <w:sz w:val="20"/>
              </w:rPr>
              <w:t xml:space="preserve">the </w:t>
            </w:r>
            <w:r>
              <w:rPr>
                <w:sz w:val="20"/>
              </w:rPr>
              <w:t>system</w:t>
            </w:r>
          </w:p>
          <w:p w:rsidR="00B73B02" w:rsidRDefault="005F5B25">
            <w:pPr>
              <w:pStyle w:val="TableParagraph"/>
              <w:spacing w:line="242" w:lineRule="auto"/>
              <w:ind w:left="116" w:right="103"/>
              <w:rPr>
                <w:sz w:val="20"/>
              </w:rPr>
            </w:pPr>
            <w:r>
              <w:rPr>
                <w:sz w:val="20"/>
              </w:rPr>
              <w:t>remains weak. The absence of a community health focused technical working group at district level, and a weak capacity to coordinate further exacerbates coordination problems.</w:t>
            </w:r>
          </w:p>
          <w:p w:rsidR="00B73B02" w:rsidRDefault="00B73B02">
            <w:pPr>
              <w:pStyle w:val="TableParagraph"/>
              <w:spacing w:before="7"/>
              <w:rPr>
                <w:rFonts w:ascii="Calibri"/>
                <w:sz w:val="18"/>
              </w:rPr>
            </w:pPr>
          </w:p>
          <w:p w:rsidR="00B73B02" w:rsidRDefault="005F5B25">
            <w:pPr>
              <w:pStyle w:val="TableParagraph"/>
              <w:spacing w:line="242" w:lineRule="auto"/>
              <w:ind w:left="116" w:right="139"/>
              <w:rPr>
                <w:sz w:val="20"/>
              </w:rPr>
            </w:pPr>
            <w:r>
              <w:rPr>
                <w:sz w:val="20"/>
              </w:rPr>
              <w:t>With the proposed community health system structure, there are multiple actors and reporting structurers (at community and district level), which could create duplication, if remain unchecked.</w:t>
            </w:r>
          </w:p>
          <w:p w:rsidR="00B73B02" w:rsidRDefault="00B73B02">
            <w:pPr>
              <w:pStyle w:val="TableParagraph"/>
              <w:spacing w:before="2"/>
              <w:rPr>
                <w:rFonts w:ascii="Calibri"/>
                <w:sz w:val="18"/>
              </w:rPr>
            </w:pPr>
          </w:p>
          <w:p w:rsidR="00B73B02" w:rsidRDefault="005F5B25">
            <w:pPr>
              <w:pStyle w:val="TableParagraph"/>
              <w:ind w:left="116" w:right="139"/>
              <w:rPr>
                <w:sz w:val="20"/>
              </w:rPr>
            </w:pPr>
            <w:r>
              <w:rPr>
                <w:sz w:val="20"/>
              </w:rPr>
              <w:t xml:space="preserve">CHV selection and representation </w:t>
            </w:r>
            <w:r>
              <w:rPr>
                <w:spacing w:val="-6"/>
                <w:sz w:val="20"/>
              </w:rPr>
              <w:t xml:space="preserve">to </w:t>
            </w:r>
            <w:r>
              <w:rPr>
                <w:spacing w:val="-4"/>
                <w:sz w:val="20"/>
              </w:rPr>
              <w:t xml:space="preserve">the </w:t>
            </w:r>
            <w:r>
              <w:rPr>
                <w:sz w:val="20"/>
              </w:rPr>
              <w:t xml:space="preserve">prioritised community structures is assumed </w:t>
            </w:r>
            <w:r>
              <w:rPr>
                <w:spacing w:val="-6"/>
                <w:sz w:val="20"/>
              </w:rPr>
              <w:t xml:space="preserve">to </w:t>
            </w:r>
            <w:r>
              <w:rPr>
                <w:sz w:val="20"/>
              </w:rPr>
              <w:t xml:space="preserve">be through elected positions. An alternative approach is considering co-opting trained volunteers from CBO/FBOs </w:t>
            </w:r>
            <w:r>
              <w:rPr>
                <w:spacing w:val="-4"/>
                <w:sz w:val="20"/>
              </w:rPr>
              <w:t xml:space="preserve">who </w:t>
            </w:r>
            <w:r>
              <w:rPr>
                <w:sz w:val="20"/>
              </w:rPr>
              <w:t xml:space="preserve">have valuable experiences, </w:t>
            </w:r>
            <w:r>
              <w:rPr>
                <w:spacing w:val="-6"/>
                <w:sz w:val="20"/>
              </w:rPr>
              <w:t xml:space="preserve">to </w:t>
            </w:r>
            <w:r>
              <w:rPr>
                <w:spacing w:val="-4"/>
                <w:sz w:val="20"/>
              </w:rPr>
              <w:t xml:space="preserve">the </w:t>
            </w:r>
            <w:r>
              <w:rPr>
                <w:sz w:val="20"/>
              </w:rPr>
              <w:t xml:space="preserve">various committee structures at community level. However, selection processes and </w:t>
            </w:r>
            <w:r>
              <w:rPr>
                <w:spacing w:val="-3"/>
                <w:sz w:val="20"/>
              </w:rPr>
              <w:t xml:space="preserve">representation would </w:t>
            </w:r>
            <w:r>
              <w:rPr>
                <w:spacing w:val="-4"/>
                <w:sz w:val="20"/>
              </w:rPr>
              <w:t xml:space="preserve">still </w:t>
            </w:r>
            <w:r>
              <w:rPr>
                <w:sz w:val="20"/>
              </w:rPr>
              <w:t>rely on, and influenced by locally set norms and</w:t>
            </w:r>
            <w:r>
              <w:rPr>
                <w:spacing w:val="-7"/>
                <w:sz w:val="20"/>
              </w:rPr>
              <w:t xml:space="preserve"> </w:t>
            </w:r>
            <w:r>
              <w:rPr>
                <w:sz w:val="20"/>
              </w:rPr>
              <w:t>standards.</w:t>
            </w:r>
          </w:p>
        </w:tc>
        <w:tc>
          <w:tcPr>
            <w:tcW w:w="4737" w:type="dxa"/>
            <w:tcBorders>
              <w:top w:val="single" w:sz="6" w:space="0" w:color="000000"/>
              <w:bottom w:val="single" w:sz="6" w:space="0" w:color="000000"/>
            </w:tcBorders>
          </w:tcPr>
          <w:p w:rsidR="00B73B02" w:rsidRDefault="005F5B25">
            <w:pPr>
              <w:pStyle w:val="TableParagraph"/>
              <w:spacing w:line="194" w:lineRule="exact"/>
              <w:ind w:left="112"/>
              <w:rPr>
                <w:sz w:val="20"/>
              </w:rPr>
            </w:pPr>
            <w:r>
              <w:rPr>
                <w:sz w:val="20"/>
              </w:rPr>
              <w:t>The CHO post is an opportunity to consolidate all community</w:t>
            </w:r>
          </w:p>
          <w:p w:rsidR="00B73B02" w:rsidRDefault="005F5B25">
            <w:pPr>
              <w:pStyle w:val="TableParagraph"/>
              <w:spacing w:before="10"/>
              <w:ind w:left="112" w:right="323"/>
              <w:jc w:val="both"/>
              <w:rPr>
                <w:sz w:val="20"/>
              </w:rPr>
            </w:pPr>
            <w:r>
              <w:rPr>
                <w:sz w:val="20"/>
              </w:rPr>
              <w:t>health activities. However, further thought is needed on: 1) how to fully align the CHO cadre within current district-level structures; and 2) the practical considerations of identifying and engaging all actors/officers as part of one large</w:t>
            </w:r>
          </w:p>
          <w:p w:rsidR="00B73B02" w:rsidRDefault="005F5B25">
            <w:pPr>
              <w:pStyle w:val="TableParagraph"/>
              <w:spacing w:line="237" w:lineRule="auto"/>
              <w:ind w:left="112"/>
              <w:rPr>
                <w:sz w:val="20"/>
              </w:rPr>
            </w:pPr>
            <w:r>
              <w:rPr>
                <w:sz w:val="20"/>
              </w:rPr>
              <w:t>community health network. An important exercise in the early implementation phase, is for districts to map and register partners to identify opportunities for support.</w:t>
            </w:r>
          </w:p>
          <w:p w:rsidR="00B73B02" w:rsidRDefault="00B73B02">
            <w:pPr>
              <w:pStyle w:val="TableParagraph"/>
              <w:spacing w:before="7"/>
              <w:rPr>
                <w:rFonts w:ascii="Calibri"/>
                <w:sz w:val="19"/>
              </w:rPr>
            </w:pPr>
          </w:p>
          <w:p w:rsidR="00B73B02" w:rsidRDefault="005F5B25">
            <w:pPr>
              <w:pStyle w:val="TableParagraph"/>
              <w:ind w:left="112" w:right="210"/>
              <w:rPr>
                <w:sz w:val="20"/>
              </w:rPr>
            </w:pPr>
            <w:r>
              <w:rPr>
                <w:sz w:val="20"/>
              </w:rPr>
              <w:t>In the early implementation phase, emphasis should be placed on broadcasting the strategy, and training of</w:t>
            </w:r>
          </w:p>
          <w:p w:rsidR="00B73B02" w:rsidRDefault="005F5B25">
            <w:pPr>
              <w:pStyle w:val="TableParagraph"/>
              <w:spacing w:line="237" w:lineRule="auto"/>
              <w:ind w:left="112" w:right="102"/>
              <w:rPr>
                <w:sz w:val="20"/>
              </w:rPr>
            </w:pPr>
            <w:r>
              <w:rPr>
                <w:sz w:val="20"/>
              </w:rPr>
              <w:t>community actors/committee members to be familiar with their expected responsibilities.</w:t>
            </w:r>
          </w:p>
          <w:p w:rsidR="00B73B02" w:rsidRDefault="00B73B02">
            <w:pPr>
              <w:pStyle w:val="TableParagraph"/>
              <w:spacing w:before="7"/>
              <w:rPr>
                <w:rFonts w:ascii="Calibri"/>
                <w:sz w:val="18"/>
              </w:rPr>
            </w:pPr>
          </w:p>
          <w:p w:rsidR="00B73B02" w:rsidRDefault="005F5B25">
            <w:pPr>
              <w:pStyle w:val="TableParagraph"/>
              <w:spacing w:before="1" w:line="242" w:lineRule="auto"/>
              <w:ind w:left="112" w:right="210"/>
              <w:rPr>
                <w:sz w:val="20"/>
              </w:rPr>
            </w:pPr>
            <w:r>
              <w:rPr>
                <w:sz w:val="20"/>
              </w:rPr>
              <w:t xml:space="preserve">There is need for </w:t>
            </w:r>
            <w:proofErr w:type="spellStart"/>
            <w:r>
              <w:rPr>
                <w:sz w:val="20"/>
              </w:rPr>
              <w:t>streamling</w:t>
            </w:r>
            <w:proofErr w:type="spellEnd"/>
            <w:r>
              <w:rPr>
                <w:sz w:val="20"/>
              </w:rPr>
              <w:t xml:space="preserve"> policies and guidelines linked to the community health stra</w:t>
            </w:r>
            <w:bookmarkStart w:id="0" w:name="_GoBack"/>
            <w:bookmarkEnd w:id="0"/>
            <w:r>
              <w:rPr>
                <w:sz w:val="20"/>
              </w:rPr>
              <w:t>tegy. For instance, the national palliative care policy and community home-based care guidelines, which have been a major source of reference in the provision of home-based care in Malawi.</w:t>
            </w:r>
          </w:p>
        </w:tc>
      </w:tr>
    </w:tbl>
    <w:p w:rsidR="00B73B02" w:rsidRDefault="00B73B02">
      <w:pPr>
        <w:spacing w:line="242" w:lineRule="auto"/>
        <w:rPr>
          <w:sz w:val="20"/>
        </w:rPr>
        <w:sectPr w:rsidR="00B73B02">
          <w:pgSz w:w="16840" w:h="11910" w:orient="landscape"/>
          <w:pgMar w:top="720" w:right="500" w:bottom="1100" w:left="500" w:header="0" w:footer="915"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2524"/>
        <w:gridCol w:w="4682"/>
        <w:gridCol w:w="3678"/>
        <w:gridCol w:w="4746"/>
      </w:tblGrid>
      <w:tr w:rsidR="00B73B02">
        <w:trPr>
          <w:trHeight w:val="893"/>
        </w:trPr>
        <w:tc>
          <w:tcPr>
            <w:tcW w:w="2524"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3"/>
              <w:rPr>
                <w:b/>
                <w:sz w:val="20"/>
              </w:rPr>
            </w:pPr>
            <w:r>
              <w:rPr>
                <w:b/>
                <w:sz w:val="20"/>
              </w:rPr>
              <w:lastRenderedPageBreak/>
              <w:t>National Community Health</w:t>
            </w:r>
          </w:p>
          <w:p w:rsidR="00B73B02" w:rsidRDefault="005F5B25">
            <w:pPr>
              <w:pStyle w:val="TableParagraph"/>
              <w:spacing w:line="228" w:lineRule="exact"/>
              <w:ind w:left="113"/>
              <w:rPr>
                <w:b/>
                <w:sz w:val="20"/>
              </w:rPr>
            </w:pPr>
            <w:r>
              <w:rPr>
                <w:b/>
                <w:sz w:val="20"/>
              </w:rPr>
              <w:t>Strategy</w:t>
            </w:r>
          </w:p>
          <w:p w:rsidR="00B73B02" w:rsidRDefault="005F5B25">
            <w:pPr>
              <w:pStyle w:val="TableParagraph"/>
              <w:numPr>
                <w:ilvl w:val="0"/>
                <w:numId w:val="1"/>
              </w:numPr>
              <w:tabs>
                <w:tab w:val="left" w:pos="258"/>
              </w:tabs>
              <w:spacing w:line="228" w:lineRule="exact"/>
              <w:rPr>
                <w:b/>
                <w:sz w:val="20"/>
              </w:rPr>
            </w:pPr>
            <w:r>
              <w:rPr>
                <w:b/>
                <w:sz w:val="20"/>
              </w:rPr>
              <w:t xml:space="preserve">6 </w:t>
            </w:r>
            <w:r>
              <w:rPr>
                <w:b/>
                <w:spacing w:val="1"/>
                <w:sz w:val="20"/>
              </w:rPr>
              <w:t xml:space="preserve">strategic </w:t>
            </w:r>
            <w:r>
              <w:rPr>
                <w:b/>
                <w:sz w:val="20"/>
              </w:rPr>
              <w:t>objectives</w:t>
            </w:r>
            <w:r>
              <w:rPr>
                <w:b/>
                <w:spacing w:val="-22"/>
                <w:sz w:val="20"/>
              </w:rPr>
              <w:t xml:space="preserve"> </w:t>
            </w:r>
            <w:r>
              <w:rPr>
                <w:b/>
                <w:sz w:val="20"/>
              </w:rPr>
              <w:t>(SO)</w:t>
            </w:r>
          </w:p>
          <w:p w:rsidR="00B73B02" w:rsidRDefault="005F5B25">
            <w:pPr>
              <w:pStyle w:val="TableParagraph"/>
              <w:numPr>
                <w:ilvl w:val="0"/>
                <w:numId w:val="1"/>
              </w:numPr>
              <w:tabs>
                <w:tab w:val="left" w:pos="258"/>
              </w:tabs>
              <w:spacing w:line="229" w:lineRule="exact"/>
              <w:rPr>
                <w:b/>
                <w:sz w:val="20"/>
              </w:rPr>
            </w:pPr>
            <w:r>
              <w:rPr>
                <w:b/>
                <w:sz w:val="20"/>
              </w:rPr>
              <w:t xml:space="preserve">6 </w:t>
            </w:r>
            <w:r>
              <w:rPr>
                <w:b/>
                <w:spacing w:val="1"/>
                <w:sz w:val="20"/>
              </w:rPr>
              <w:t xml:space="preserve">guiding </w:t>
            </w:r>
            <w:r>
              <w:rPr>
                <w:b/>
                <w:spacing w:val="-3"/>
                <w:sz w:val="20"/>
              </w:rPr>
              <w:t>principles</w:t>
            </w:r>
            <w:r>
              <w:rPr>
                <w:b/>
                <w:spacing w:val="-6"/>
                <w:sz w:val="20"/>
              </w:rPr>
              <w:t xml:space="preserve"> </w:t>
            </w:r>
            <w:r>
              <w:rPr>
                <w:b/>
                <w:sz w:val="20"/>
              </w:rPr>
              <w:t>(GP)</w:t>
            </w:r>
          </w:p>
        </w:tc>
        <w:tc>
          <w:tcPr>
            <w:tcW w:w="4682"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2"/>
              <w:rPr>
                <w:b/>
                <w:i/>
                <w:sz w:val="20"/>
              </w:rPr>
            </w:pPr>
            <w:r>
              <w:rPr>
                <w:b/>
                <w:i/>
                <w:sz w:val="20"/>
              </w:rPr>
              <w:t>Synthesis of data from research on community home-</w:t>
            </w:r>
          </w:p>
          <w:p w:rsidR="00B73B02" w:rsidRDefault="005F5B25">
            <w:pPr>
              <w:pStyle w:val="TableParagraph"/>
              <w:ind w:left="112" w:right="183"/>
              <w:rPr>
                <w:b/>
                <w:i/>
                <w:sz w:val="20"/>
              </w:rPr>
            </w:pPr>
            <w:r>
              <w:rPr>
                <w:b/>
                <w:i/>
                <w:sz w:val="20"/>
              </w:rPr>
              <w:t>based care programmes role in chronic care in Phalombe district, Malawi</w:t>
            </w:r>
          </w:p>
        </w:tc>
        <w:tc>
          <w:tcPr>
            <w:tcW w:w="3678" w:type="dxa"/>
            <w:tcBorders>
              <w:top w:val="single" w:sz="6" w:space="0" w:color="000000"/>
              <w:bottom w:val="single" w:sz="6" w:space="0" w:color="000000"/>
            </w:tcBorders>
            <w:shd w:val="clear" w:color="auto" w:fill="F1F1F1"/>
          </w:tcPr>
          <w:p w:rsidR="00B73B02" w:rsidRDefault="005F5B25">
            <w:pPr>
              <w:pStyle w:val="TableParagraph"/>
              <w:spacing w:line="205" w:lineRule="exact"/>
              <w:ind w:left="112"/>
              <w:rPr>
                <w:b/>
                <w:sz w:val="20"/>
              </w:rPr>
            </w:pPr>
            <w:r>
              <w:rPr>
                <w:b/>
                <w:sz w:val="20"/>
              </w:rPr>
              <w:t>What are the current gaps in the strategy</w:t>
            </w:r>
          </w:p>
          <w:p w:rsidR="00B73B02" w:rsidRDefault="005F5B25">
            <w:pPr>
              <w:pStyle w:val="TableParagraph"/>
              <w:spacing w:line="229" w:lineRule="exact"/>
              <w:ind w:left="112"/>
              <w:rPr>
                <w:b/>
                <w:i/>
                <w:sz w:val="20"/>
              </w:rPr>
            </w:pPr>
            <w:r>
              <w:rPr>
                <w:b/>
                <w:sz w:val="20"/>
              </w:rPr>
              <w:t xml:space="preserve">- </w:t>
            </w:r>
            <w:r>
              <w:rPr>
                <w:b/>
                <w:i/>
                <w:sz w:val="20"/>
              </w:rPr>
              <w:t>challenges for implementation</w:t>
            </w:r>
          </w:p>
        </w:tc>
        <w:tc>
          <w:tcPr>
            <w:tcW w:w="4746" w:type="dxa"/>
            <w:tcBorders>
              <w:top w:val="single" w:sz="6" w:space="0" w:color="000000"/>
              <w:bottom w:val="single" w:sz="6" w:space="0" w:color="000000"/>
            </w:tcBorders>
            <w:shd w:val="clear" w:color="auto" w:fill="F1F1F1"/>
          </w:tcPr>
          <w:p w:rsidR="00B73B02" w:rsidRDefault="005F5B25">
            <w:pPr>
              <w:pStyle w:val="TableParagraph"/>
              <w:spacing w:line="205" w:lineRule="exact"/>
              <w:ind w:left="122"/>
              <w:rPr>
                <w:b/>
                <w:i/>
                <w:sz w:val="20"/>
              </w:rPr>
            </w:pPr>
            <w:r>
              <w:rPr>
                <w:b/>
                <w:i/>
                <w:sz w:val="20"/>
              </w:rPr>
              <w:t>Recommendations and opportunities to explore</w:t>
            </w:r>
          </w:p>
          <w:p w:rsidR="00B73B02" w:rsidRDefault="005F5B25">
            <w:pPr>
              <w:pStyle w:val="TableParagraph"/>
              <w:spacing w:line="229" w:lineRule="exact"/>
              <w:ind w:left="122"/>
              <w:rPr>
                <w:b/>
                <w:i/>
                <w:sz w:val="20"/>
              </w:rPr>
            </w:pPr>
            <w:r>
              <w:rPr>
                <w:b/>
                <w:i/>
                <w:sz w:val="20"/>
              </w:rPr>
              <w:t>- as stated in the strategy and research synthesis</w:t>
            </w:r>
          </w:p>
        </w:tc>
      </w:tr>
      <w:tr w:rsidR="00B73B02">
        <w:trPr>
          <w:trHeight w:val="5983"/>
        </w:trPr>
        <w:tc>
          <w:tcPr>
            <w:tcW w:w="2524" w:type="dxa"/>
            <w:tcBorders>
              <w:top w:val="single" w:sz="6" w:space="0" w:color="000000"/>
              <w:bottom w:val="single" w:sz="6" w:space="0" w:color="000000"/>
            </w:tcBorders>
          </w:tcPr>
          <w:p w:rsidR="00B73B02" w:rsidRDefault="005F5B25">
            <w:pPr>
              <w:pStyle w:val="TableParagraph"/>
              <w:spacing w:line="205" w:lineRule="exact"/>
              <w:ind w:left="113"/>
              <w:rPr>
                <w:b/>
                <w:sz w:val="20"/>
              </w:rPr>
            </w:pPr>
            <w:r>
              <w:rPr>
                <w:b/>
                <w:sz w:val="20"/>
              </w:rPr>
              <w:t>G. DATA REPORTING AND</w:t>
            </w:r>
          </w:p>
          <w:p w:rsidR="00B73B02" w:rsidRDefault="005F5B25">
            <w:pPr>
              <w:pStyle w:val="TableParagraph"/>
              <w:spacing w:line="229" w:lineRule="exact"/>
              <w:ind w:left="113"/>
              <w:rPr>
                <w:b/>
                <w:sz w:val="20"/>
              </w:rPr>
            </w:pPr>
            <w:r>
              <w:rPr>
                <w:b/>
                <w:sz w:val="20"/>
              </w:rPr>
              <w:t>MONITORING</w:t>
            </w:r>
          </w:p>
          <w:p w:rsidR="00B73B02" w:rsidRDefault="00B73B02">
            <w:pPr>
              <w:pStyle w:val="TableParagraph"/>
              <w:spacing w:before="6"/>
              <w:rPr>
                <w:rFonts w:ascii="Calibri"/>
                <w:sz w:val="19"/>
              </w:rPr>
            </w:pPr>
          </w:p>
          <w:p w:rsidR="00B73B02" w:rsidRDefault="005F5B25">
            <w:pPr>
              <w:pStyle w:val="TableParagraph"/>
              <w:spacing w:before="1" w:line="229" w:lineRule="exact"/>
              <w:ind w:left="113"/>
              <w:rPr>
                <w:b/>
                <w:sz w:val="20"/>
              </w:rPr>
            </w:pPr>
            <w:r>
              <w:rPr>
                <w:b/>
                <w:sz w:val="20"/>
              </w:rPr>
              <w:t>SO3 key interventions:</w:t>
            </w:r>
          </w:p>
          <w:p w:rsidR="00B73B02" w:rsidRDefault="005F5B25">
            <w:pPr>
              <w:pStyle w:val="TableParagraph"/>
              <w:spacing w:line="228" w:lineRule="exact"/>
              <w:ind w:left="113"/>
              <w:rPr>
                <w:sz w:val="20"/>
              </w:rPr>
            </w:pPr>
            <w:r>
              <w:rPr>
                <w:sz w:val="20"/>
              </w:rPr>
              <w:t>1) harmonising data</w:t>
            </w:r>
          </w:p>
          <w:p w:rsidR="00B73B02" w:rsidRDefault="005F5B25">
            <w:pPr>
              <w:pStyle w:val="TableParagraph"/>
              <w:ind w:left="113" w:right="5"/>
              <w:rPr>
                <w:sz w:val="20"/>
              </w:rPr>
            </w:pPr>
            <w:r>
              <w:rPr>
                <w:sz w:val="20"/>
              </w:rPr>
              <w:t xml:space="preserve">management practices; 2) exploring integrated </w:t>
            </w:r>
            <w:proofErr w:type="spellStart"/>
            <w:r>
              <w:rPr>
                <w:sz w:val="20"/>
              </w:rPr>
              <w:t>mHealth</w:t>
            </w:r>
            <w:proofErr w:type="spellEnd"/>
            <w:r>
              <w:rPr>
                <w:sz w:val="20"/>
              </w:rPr>
              <w:t xml:space="preserve"> solutions for CHTs; 3) provide sufficient training for HSAs, supervisors and CHVs on data and information communication technology; 4) launching two- way feedback and data review systems between communities and the community health workforce.</w:t>
            </w:r>
          </w:p>
          <w:p w:rsidR="00B73B02" w:rsidRDefault="00B73B02">
            <w:pPr>
              <w:pStyle w:val="TableParagraph"/>
              <w:spacing w:before="6"/>
              <w:rPr>
                <w:rFonts w:ascii="Calibri"/>
                <w:sz w:val="18"/>
              </w:rPr>
            </w:pPr>
          </w:p>
          <w:p w:rsidR="00B73B02" w:rsidRDefault="005F5B25">
            <w:pPr>
              <w:pStyle w:val="TableParagraph"/>
              <w:ind w:left="113" w:right="131"/>
              <w:rPr>
                <w:sz w:val="20"/>
              </w:rPr>
            </w:pPr>
            <w:r>
              <w:rPr>
                <w:b/>
                <w:spacing w:val="1"/>
                <w:sz w:val="20"/>
              </w:rPr>
              <w:t xml:space="preserve">Target </w:t>
            </w:r>
            <w:r>
              <w:rPr>
                <w:b/>
                <w:sz w:val="20"/>
              </w:rPr>
              <w:t xml:space="preserve">2022: </w:t>
            </w:r>
            <w:r>
              <w:rPr>
                <w:sz w:val="20"/>
              </w:rPr>
              <w:t xml:space="preserve">75% of </w:t>
            </w:r>
            <w:r>
              <w:rPr>
                <w:spacing w:val="-3"/>
                <w:sz w:val="20"/>
              </w:rPr>
              <w:t xml:space="preserve">HSAs </w:t>
            </w:r>
            <w:r>
              <w:rPr>
                <w:sz w:val="20"/>
              </w:rPr>
              <w:t xml:space="preserve">are reporting using </w:t>
            </w:r>
            <w:r>
              <w:rPr>
                <w:spacing w:val="-4"/>
                <w:sz w:val="20"/>
              </w:rPr>
              <w:t xml:space="preserve">the </w:t>
            </w:r>
            <w:r>
              <w:rPr>
                <w:sz w:val="20"/>
              </w:rPr>
              <w:t xml:space="preserve">standardized village </w:t>
            </w:r>
            <w:r>
              <w:rPr>
                <w:spacing w:val="-4"/>
                <w:sz w:val="20"/>
              </w:rPr>
              <w:t xml:space="preserve">health </w:t>
            </w:r>
            <w:r>
              <w:rPr>
                <w:sz w:val="20"/>
              </w:rPr>
              <w:t xml:space="preserve">register, and </w:t>
            </w:r>
            <w:r>
              <w:rPr>
                <w:spacing w:val="-3"/>
                <w:sz w:val="20"/>
              </w:rPr>
              <w:t xml:space="preserve">that </w:t>
            </w:r>
            <w:r>
              <w:rPr>
                <w:sz w:val="20"/>
              </w:rPr>
              <w:t xml:space="preserve">50% of CHTs are using </w:t>
            </w:r>
            <w:proofErr w:type="spellStart"/>
            <w:r>
              <w:rPr>
                <w:sz w:val="20"/>
              </w:rPr>
              <w:t>mHealth</w:t>
            </w:r>
            <w:proofErr w:type="spellEnd"/>
            <w:r>
              <w:rPr>
                <w:sz w:val="20"/>
              </w:rPr>
              <w:t xml:space="preserve"> </w:t>
            </w:r>
            <w:r>
              <w:rPr>
                <w:spacing w:val="-4"/>
                <w:sz w:val="20"/>
              </w:rPr>
              <w:t xml:space="preserve">for </w:t>
            </w:r>
            <w:r>
              <w:rPr>
                <w:sz w:val="20"/>
              </w:rPr>
              <w:t xml:space="preserve">integrated service delivery, </w:t>
            </w:r>
            <w:r>
              <w:rPr>
                <w:spacing w:val="-3"/>
                <w:sz w:val="20"/>
              </w:rPr>
              <w:t xml:space="preserve">data </w:t>
            </w:r>
            <w:r>
              <w:rPr>
                <w:sz w:val="20"/>
              </w:rPr>
              <w:t>collection, and supervision.</w:t>
            </w:r>
          </w:p>
        </w:tc>
        <w:tc>
          <w:tcPr>
            <w:tcW w:w="4682" w:type="dxa"/>
            <w:tcBorders>
              <w:top w:val="single" w:sz="6" w:space="0" w:color="000000"/>
              <w:bottom w:val="single" w:sz="6" w:space="0" w:color="000000"/>
            </w:tcBorders>
          </w:tcPr>
          <w:p w:rsidR="00B73B02" w:rsidRDefault="005F5B25">
            <w:pPr>
              <w:pStyle w:val="TableParagraph"/>
              <w:spacing w:line="205" w:lineRule="exact"/>
              <w:ind w:left="112"/>
              <w:rPr>
                <w:sz w:val="20"/>
              </w:rPr>
            </w:pPr>
            <w:r>
              <w:rPr>
                <w:sz w:val="20"/>
              </w:rPr>
              <w:t>All registered CBO/FBOs programmes are expected to</w:t>
            </w:r>
          </w:p>
          <w:p w:rsidR="00B73B02" w:rsidRDefault="005F5B25">
            <w:pPr>
              <w:pStyle w:val="TableParagraph"/>
              <w:spacing w:line="244" w:lineRule="auto"/>
              <w:ind w:left="112" w:right="110"/>
              <w:jc w:val="both"/>
              <w:rPr>
                <w:sz w:val="20"/>
              </w:rPr>
            </w:pPr>
            <w:r>
              <w:rPr>
                <w:sz w:val="20"/>
              </w:rPr>
              <w:t>generate monthly reports and submit to the district ministry of health, social welfare office, and the district AIDS coordinator (different report indicators and using a paper based system).</w:t>
            </w:r>
          </w:p>
          <w:p w:rsidR="00B73B02" w:rsidRDefault="00B73B02">
            <w:pPr>
              <w:pStyle w:val="TableParagraph"/>
              <w:spacing w:before="2"/>
              <w:rPr>
                <w:rFonts w:ascii="Calibri"/>
                <w:sz w:val="18"/>
              </w:rPr>
            </w:pPr>
          </w:p>
          <w:p w:rsidR="00B73B02" w:rsidRDefault="005F5B25">
            <w:pPr>
              <w:pStyle w:val="TableParagraph"/>
              <w:ind w:left="112"/>
              <w:rPr>
                <w:sz w:val="20"/>
              </w:rPr>
            </w:pPr>
            <w:r>
              <w:rPr>
                <w:sz w:val="20"/>
              </w:rPr>
              <w:t>CBO/FBO volunteers were concerned with the lack of, or infrequent supervision visits from health personnel in nearby health facilities, to provide guidance for their activities.</w:t>
            </w:r>
          </w:p>
        </w:tc>
        <w:tc>
          <w:tcPr>
            <w:tcW w:w="3678" w:type="dxa"/>
            <w:tcBorders>
              <w:top w:val="single" w:sz="6" w:space="0" w:color="000000"/>
              <w:bottom w:val="single" w:sz="6" w:space="0" w:color="000000"/>
            </w:tcBorders>
          </w:tcPr>
          <w:p w:rsidR="00B73B02" w:rsidRDefault="005F5B25">
            <w:pPr>
              <w:pStyle w:val="TableParagraph"/>
              <w:spacing w:line="205" w:lineRule="exact"/>
              <w:ind w:left="112"/>
              <w:rPr>
                <w:sz w:val="20"/>
              </w:rPr>
            </w:pPr>
            <w:r>
              <w:rPr>
                <w:sz w:val="20"/>
              </w:rPr>
              <w:t>In the national community home-based care</w:t>
            </w:r>
          </w:p>
          <w:p w:rsidR="00B73B02" w:rsidRDefault="005F5B25">
            <w:pPr>
              <w:pStyle w:val="TableParagraph"/>
              <w:spacing w:line="242" w:lineRule="auto"/>
              <w:ind w:left="112" w:right="136"/>
              <w:rPr>
                <w:sz w:val="20"/>
              </w:rPr>
            </w:pPr>
            <w:r>
              <w:rPr>
                <w:sz w:val="20"/>
              </w:rPr>
              <w:t>guidelines, HSAs are supposed to link with CBO/FBOs to receive reports and support their work. Most of the CBOs reported this was not happening.</w:t>
            </w:r>
          </w:p>
          <w:p w:rsidR="00B73B02" w:rsidRDefault="00B73B02">
            <w:pPr>
              <w:pStyle w:val="TableParagraph"/>
              <w:spacing w:before="5"/>
              <w:rPr>
                <w:rFonts w:ascii="Calibri"/>
                <w:sz w:val="18"/>
              </w:rPr>
            </w:pPr>
          </w:p>
          <w:p w:rsidR="00B73B02" w:rsidRDefault="005F5B25">
            <w:pPr>
              <w:pStyle w:val="TableParagraph"/>
              <w:ind w:left="112" w:right="85"/>
              <w:rPr>
                <w:sz w:val="20"/>
              </w:rPr>
            </w:pPr>
            <w:r>
              <w:rPr>
                <w:sz w:val="20"/>
              </w:rPr>
              <w:t>The recognition in the strategy of the lack of integrated data collection tools and systems, and inaccessibility of data at community level – leads to duplication and workload burden. E.g. at present HSAs are assigned over 50 forms and processes, of which 40 are expected to be completed at least monthly.</w:t>
            </w:r>
          </w:p>
          <w:p w:rsidR="00B73B02" w:rsidRDefault="00B73B02">
            <w:pPr>
              <w:pStyle w:val="TableParagraph"/>
              <w:spacing w:before="12"/>
              <w:rPr>
                <w:rFonts w:ascii="Calibri"/>
                <w:sz w:val="18"/>
              </w:rPr>
            </w:pPr>
          </w:p>
          <w:p w:rsidR="00B73B02" w:rsidRDefault="005F5B25">
            <w:pPr>
              <w:pStyle w:val="TableParagraph"/>
              <w:spacing w:line="242" w:lineRule="auto"/>
              <w:ind w:left="112" w:right="85"/>
              <w:rPr>
                <w:sz w:val="20"/>
              </w:rPr>
            </w:pPr>
            <w:r>
              <w:rPr>
                <w:sz w:val="20"/>
              </w:rPr>
              <w:t>A foreseeable challenge mentioned in the strategy is HSAs and village health committees feel they do not receive feedback, hence lack ownership or value the need for elaborate data collection. At community level, leaders are unable to use data to plan, implement and</w:t>
            </w:r>
          </w:p>
          <w:p w:rsidR="00B73B02" w:rsidRDefault="005F5B25">
            <w:pPr>
              <w:pStyle w:val="TableParagraph"/>
              <w:spacing w:line="220" w:lineRule="exact"/>
              <w:ind w:left="112"/>
              <w:rPr>
                <w:sz w:val="20"/>
              </w:rPr>
            </w:pPr>
            <w:r>
              <w:rPr>
                <w:sz w:val="20"/>
              </w:rPr>
              <w:t>improve community health services.</w:t>
            </w:r>
          </w:p>
        </w:tc>
        <w:tc>
          <w:tcPr>
            <w:tcW w:w="4746" w:type="dxa"/>
            <w:tcBorders>
              <w:top w:val="single" w:sz="6" w:space="0" w:color="000000"/>
              <w:bottom w:val="single" w:sz="6" w:space="0" w:color="000000"/>
            </w:tcBorders>
          </w:tcPr>
          <w:p w:rsidR="00B73B02" w:rsidRDefault="005F5B25">
            <w:pPr>
              <w:pStyle w:val="TableParagraph"/>
              <w:spacing w:line="205" w:lineRule="exact"/>
              <w:ind w:left="122"/>
              <w:rPr>
                <w:sz w:val="20"/>
              </w:rPr>
            </w:pPr>
            <w:r>
              <w:rPr>
                <w:sz w:val="20"/>
              </w:rPr>
              <w:t>At national level, a number of initiatives are yet to be rolled</w:t>
            </w:r>
          </w:p>
          <w:p w:rsidR="00B73B02" w:rsidRDefault="005F5B25">
            <w:pPr>
              <w:pStyle w:val="TableParagraph"/>
              <w:spacing w:line="242" w:lineRule="auto"/>
              <w:ind w:left="122" w:right="144"/>
              <w:rPr>
                <w:sz w:val="20"/>
              </w:rPr>
            </w:pPr>
            <w:r>
              <w:rPr>
                <w:sz w:val="20"/>
              </w:rPr>
              <w:t>out including: 1) development of integrated village health registers; 2) development and training of community health information systems; 3) ministry of health and partners working on revision of health indicators, and their inclusion in electronic information systems.</w:t>
            </w:r>
          </w:p>
          <w:p w:rsidR="00B73B02" w:rsidRDefault="00B73B02">
            <w:pPr>
              <w:pStyle w:val="TableParagraph"/>
              <w:spacing w:before="1"/>
              <w:rPr>
                <w:rFonts w:ascii="Calibri"/>
                <w:sz w:val="18"/>
              </w:rPr>
            </w:pPr>
          </w:p>
          <w:p w:rsidR="00B73B02" w:rsidRDefault="005F5B25">
            <w:pPr>
              <w:pStyle w:val="TableParagraph"/>
              <w:spacing w:before="1"/>
              <w:ind w:left="122" w:right="144"/>
              <w:rPr>
                <w:sz w:val="20"/>
              </w:rPr>
            </w:pPr>
            <w:r>
              <w:rPr>
                <w:sz w:val="20"/>
              </w:rPr>
              <w:t xml:space="preserve">District level health information/data </w:t>
            </w:r>
            <w:r>
              <w:rPr>
                <w:spacing w:val="-3"/>
                <w:sz w:val="20"/>
              </w:rPr>
              <w:t xml:space="preserve">officers </w:t>
            </w:r>
            <w:r>
              <w:rPr>
                <w:spacing w:val="-5"/>
                <w:sz w:val="20"/>
              </w:rPr>
              <w:t xml:space="preserve">will </w:t>
            </w:r>
            <w:r>
              <w:rPr>
                <w:sz w:val="20"/>
              </w:rPr>
              <w:t xml:space="preserve">require support </w:t>
            </w:r>
            <w:r>
              <w:rPr>
                <w:spacing w:val="-6"/>
                <w:sz w:val="20"/>
              </w:rPr>
              <w:t xml:space="preserve">to </w:t>
            </w:r>
            <w:r>
              <w:rPr>
                <w:sz w:val="20"/>
              </w:rPr>
              <w:t xml:space="preserve">strengthen CHTs capacity. </w:t>
            </w:r>
            <w:r>
              <w:rPr>
                <w:spacing w:val="1"/>
                <w:sz w:val="20"/>
              </w:rPr>
              <w:t xml:space="preserve">To </w:t>
            </w:r>
            <w:r>
              <w:rPr>
                <w:sz w:val="20"/>
              </w:rPr>
              <w:t xml:space="preserve">curb </w:t>
            </w:r>
            <w:r>
              <w:rPr>
                <w:spacing w:val="-2"/>
                <w:sz w:val="20"/>
              </w:rPr>
              <w:t xml:space="preserve">duplication </w:t>
            </w:r>
            <w:r>
              <w:rPr>
                <w:spacing w:val="-7"/>
                <w:sz w:val="20"/>
              </w:rPr>
              <w:t xml:space="preserve">with </w:t>
            </w:r>
            <w:r>
              <w:rPr>
                <w:sz w:val="20"/>
              </w:rPr>
              <w:t xml:space="preserve">reporting (due </w:t>
            </w:r>
            <w:r>
              <w:rPr>
                <w:spacing w:val="-6"/>
                <w:sz w:val="20"/>
              </w:rPr>
              <w:t xml:space="preserve">to </w:t>
            </w:r>
            <w:r>
              <w:rPr>
                <w:sz w:val="20"/>
              </w:rPr>
              <w:t xml:space="preserve">multiple reporting structures), </w:t>
            </w:r>
            <w:r>
              <w:rPr>
                <w:spacing w:val="-4"/>
                <w:sz w:val="20"/>
              </w:rPr>
              <w:t xml:space="preserve">the </w:t>
            </w:r>
            <w:r>
              <w:rPr>
                <w:sz w:val="20"/>
              </w:rPr>
              <w:t xml:space="preserve">district health information </w:t>
            </w:r>
            <w:r>
              <w:rPr>
                <w:spacing w:val="-4"/>
                <w:sz w:val="20"/>
              </w:rPr>
              <w:t xml:space="preserve">office </w:t>
            </w:r>
            <w:r>
              <w:rPr>
                <w:sz w:val="20"/>
              </w:rPr>
              <w:t xml:space="preserve">could serve as a central reporting </w:t>
            </w:r>
            <w:r>
              <w:rPr>
                <w:spacing w:val="-3"/>
                <w:sz w:val="20"/>
              </w:rPr>
              <w:t xml:space="preserve">unit, </w:t>
            </w:r>
            <w:r>
              <w:rPr>
                <w:sz w:val="20"/>
              </w:rPr>
              <w:t xml:space="preserve">instead of each department collecting reports specific </w:t>
            </w:r>
            <w:r>
              <w:rPr>
                <w:spacing w:val="-4"/>
                <w:sz w:val="20"/>
              </w:rPr>
              <w:t xml:space="preserve">for </w:t>
            </w:r>
            <w:r>
              <w:rPr>
                <w:spacing w:val="-3"/>
                <w:sz w:val="20"/>
              </w:rPr>
              <w:t>their</w:t>
            </w:r>
            <w:r>
              <w:rPr>
                <w:spacing w:val="-6"/>
                <w:sz w:val="20"/>
              </w:rPr>
              <w:t xml:space="preserve"> </w:t>
            </w:r>
            <w:r>
              <w:rPr>
                <w:sz w:val="20"/>
              </w:rPr>
              <w:t>programmes.</w:t>
            </w:r>
          </w:p>
        </w:tc>
      </w:tr>
    </w:tbl>
    <w:p w:rsidR="005F5B25" w:rsidRDefault="00367D88">
      <w:r>
        <w:fldChar w:fldCharType="begin"/>
      </w:r>
      <w:r w:rsidRPr="00ED5B9A">
        <w:rPr>
          <w:lang w:val="nl-NL"/>
        </w:rPr>
        <w:instrText xml:space="preserve"> ADDIN EN.REFLIST </w:instrText>
      </w:r>
      <w:r>
        <w:fldChar w:fldCharType="end"/>
      </w:r>
    </w:p>
    <w:sectPr w:rsidR="005F5B25">
      <w:pgSz w:w="16840" w:h="11910" w:orient="landscape"/>
      <w:pgMar w:top="720" w:right="500" w:bottom="1100" w:left="5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5B" w:rsidRDefault="00F4775B">
      <w:r>
        <w:separator/>
      </w:r>
    </w:p>
  </w:endnote>
  <w:endnote w:type="continuationSeparator" w:id="0">
    <w:p w:rsidR="00F4775B" w:rsidRDefault="00F4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2" w:rsidRDefault="0092462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10146665</wp:posOffset>
              </wp:positionH>
              <wp:positionV relativeFrom="page">
                <wp:posOffset>6787515</wp:posOffset>
              </wp:positionV>
              <wp:extent cx="120650" cy="162560"/>
              <wp:effectExtent l="254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B02" w:rsidRDefault="005F5B25">
                          <w:pPr>
                            <w:pStyle w:val="BodyText"/>
                            <w:spacing w:line="238" w:lineRule="exact"/>
                            <w:ind w:left="40"/>
                          </w:pPr>
                          <w:r>
                            <w:fldChar w:fldCharType="begin"/>
                          </w:r>
                          <w:r>
                            <w:rPr>
                              <w:w w:val="102"/>
                            </w:rPr>
                            <w:instrText xml:space="preserve"> PAGE </w:instrText>
                          </w:r>
                          <w:r>
                            <w:fldChar w:fldCharType="separate"/>
                          </w:r>
                          <w:r w:rsidR="00CC4102">
                            <w:rPr>
                              <w:noProof/>
                              <w:w w:val="10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8.95pt;margin-top:534.45pt;width:9.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Mdqw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" filled="f" stroked="f">
              <v:textbox inset="0,0,0,0">
                <w:txbxContent>
                  <w:p w:rsidR="00B73B02" w:rsidRDefault="005F5B25">
                    <w:pPr>
                      <w:pStyle w:val="BodyText"/>
                      <w:spacing w:line="238" w:lineRule="exact"/>
                      <w:ind w:left="40"/>
                    </w:pPr>
                    <w:r>
                      <w:fldChar w:fldCharType="begin"/>
                    </w:r>
                    <w:r>
                      <w:rPr>
                        <w:w w:val="102"/>
                      </w:rPr>
                      <w:instrText xml:space="preserve"> PAGE </w:instrText>
                    </w:r>
                    <w:r>
                      <w:fldChar w:fldCharType="separate"/>
                    </w:r>
                    <w:r w:rsidR="00CC4102">
                      <w:rPr>
                        <w:noProof/>
                        <w:w w:val="102"/>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5B" w:rsidRDefault="00F4775B">
      <w:r>
        <w:separator/>
      </w:r>
    </w:p>
  </w:footnote>
  <w:footnote w:type="continuationSeparator" w:id="0">
    <w:p w:rsidR="00F4775B" w:rsidRDefault="00F4775B">
      <w:r>
        <w:continuationSeparator/>
      </w:r>
    </w:p>
  </w:footnote>
  <w:footnote w:id="1">
    <w:p w:rsidR="009970EB" w:rsidRPr="00176BFF" w:rsidRDefault="009970EB" w:rsidP="009970EB">
      <w:pPr>
        <w:spacing w:before="35" w:line="242" w:lineRule="auto"/>
        <w:ind w:left="100" w:right="1076"/>
        <w:rPr>
          <w:rFonts w:asciiTheme="minorHAnsi" w:hAnsiTheme="minorHAnsi" w:cstheme="minorHAnsi"/>
          <w:sz w:val="20"/>
          <w:szCs w:val="20"/>
        </w:rPr>
      </w:pPr>
      <w:r w:rsidRPr="00176BFF">
        <w:rPr>
          <w:rStyle w:val="FootnoteReference"/>
          <w:rFonts w:asciiTheme="minorHAnsi" w:hAnsiTheme="minorHAnsi" w:cstheme="minorHAnsi"/>
          <w:sz w:val="20"/>
          <w:szCs w:val="20"/>
        </w:rPr>
        <w:footnoteRef/>
      </w:r>
      <w:r w:rsidRPr="00176BFF">
        <w:rPr>
          <w:rFonts w:asciiTheme="minorHAnsi" w:hAnsiTheme="minorHAnsi" w:cstheme="minorHAnsi"/>
          <w:sz w:val="20"/>
          <w:szCs w:val="20"/>
        </w:rPr>
        <w:t xml:space="preserve"> Government of Malawi: National Community Health Strategy 2017 - 2022: Integrating health services and engaging communities for the next generation In., </w:t>
      </w:r>
      <w:hyperlink r:id="rId1">
        <w:r w:rsidRPr="00176BFF">
          <w:rPr>
            <w:rFonts w:asciiTheme="minorHAnsi" w:hAnsiTheme="minorHAnsi" w:cstheme="minorHAnsi"/>
            <w:color w:val="0000FF"/>
            <w:sz w:val="20"/>
            <w:szCs w:val="20"/>
            <w:u w:val="single" w:color="0000FF"/>
          </w:rPr>
          <w:t>https://www.healthynewbornnetwork.org/hnn-</w:t>
        </w:r>
      </w:hyperlink>
      <w:r w:rsidRPr="00176BFF">
        <w:rPr>
          <w:rFonts w:asciiTheme="minorHAnsi" w:hAnsiTheme="minorHAnsi" w:cstheme="minorHAnsi"/>
          <w:color w:val="0000FF"/>
          <w:sz w:val="20"/>
          <w:szCs w:val="20"/>
        </w:rPr>
        <w:t xml:space="preserve"> </w:t>
      </w:r>
      <w:hyperlink r:id="rId2">
        <w:r w:rsidRPr="00176BFF">
          <w:rPr>
            <w:rFonts w:asciiTheme="minorHAnsi" w:hAnsiTheme="minorHAnsi" w:cstheme="minorHAnsi"/>
            <w:color w:val="0000FF"/>
            <w:sz w:val="20"/>
            <w:szCs w:val="20"/>
            <w:u w:val="single" w:color="0000FF"/>
          </w:rPr>
          <w:t>content/uploads/National_Community_Health_Strategy_2017-2022-FINAL.pdf</w:t>
        </w:r>
      </w:hyperlink>
      <w:r w:rsidRPr="00176BFF">
        <w:rPr>
          <w:rFonts w:asciiTheme="minorHAnsi" w:hAnsiTheme="minorHAnsi" w:cstheme="minorHAnsi"/>
          <w:sz w:val="20"/>
          <w:szCs w:val="20"/>
        </w:rPr>
        <w:t>. Lilongwe: Ministry of Health 2017.</w:t>
      </w:r>
    </w:p>
    <w:p w:rsidR="009970EB" w:rsidRPr="00176BFF" w:rsidRDefault="009970EB">
      <w:pPr>
        <w:pStyle w:val="FootnoteText"/>
        <w:rPr>
          <w:rFonts w:asciiTheme="minorHAnsi" w:hAnsiTheme="minorHAnsi" w:cstheme="minorHAnsi"/>
          <w:lang w:val="en-US"/>
        </w:rPr>
      </w:pPr>
    </w:p>
  </w:footnote>
  <w:footnote w:id="2">
    <w:p w:rsidR="009970EB" w:rsidRPr="00176BFF" w:rsidRDefault="009970EB" w:rsidP="009970EB">
      <w:pPr>
        <w:pStyle w:val="EndNoteBibliography"/>
        <w:ind w:left="142" w:hanging="142"/>
        <w:rPr>
          <w:i/>
          <w:lang w:val="en-US"/>
        </w:rPr>
      </w:pPr>
      <w:r w:rsidRPr="00176BFF">
        <w:rPr>
          <w:rStyle w:val="FootnoteReference"/>
          <w:rFonts w:asciiTheme="minorHAnsi" w:hAnsiTheme="minorHAnsi" w:cstheme="minorHAnsi"/>
          <w:sz w:val="20"/>
          <w:szCs w:val="20"/>
        </w:rPr>
        <w:footnoteRef/>
      </w:r>
      <w:r w:rsidRPr="00176BFF">
        <w:rPr>
          <w:rFonts w:asciiTheme="minorHAnsi" w:hAnsiTheme="minorHAnsi" w:cstheme="minorHAnsi"/>
          <w:sz w:val="20"/>
          <w:szCs w:val="20"/>
        </w:rPr>
        <w:t xml:space="preserve"> Angwenyi V, Aantjes C, Kajumi M, De Man J, Criel B, Bunders-Aelen J. Patients experiences of self-management and strategies for dealing with chronic conditions in rural Malawi. </w:t>
      </w:r>
      <w:r w:rsidRPr="00176BFF">
        <w:rPr>
          <w:rFonts w:asciiTheme="minorHAnsi" w:hAnsiTheme="minorHAnsi" w:cstheme="minorHAnsi"/>
          <w:i/>
          <w:sz w:val="20"/>
          <w:szCs w:val="20"/>
          <w:lang w:val="nl-NL"/>
        </w:rPr>
        <w:t>PloS one. 2018 Jul 2;13(7):e0199977.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38"/>
    <w:multiLevelType w:val="hybridMultilevel"/>
    <w:tmpl w:val="F3B85A48"/>
    <w:lvl w:ilvl="0" w:tplc="114C0A34">
      <w:numFmt w:val="bullet"/>
      <w:lvlText w:val="-"/>
      <w:lvlJc w:val="left"/>
      <w:pPr>
        <w:ind w:left="258" w:hanging="144"/>
      </w:pPr>
      <w:rPr>
        <w:rFonts w:ascii="Arial Narrow" w:eastAsia="Arial Narrow" w:hAnsi="Arial Narrow" w:cs="Arial Narrow" w:hint="default"/>
        <w:w w:val="102"/>
        <w:sz w:val="20"/>
        <w:szCs w:val="20"/>
        <w:lang w:val="en-GB" w:eastAsia="en-GB" w:bidi="en-GB"/>
      </w:rPr>
    </w:lvl>
    <w:lvl w:ilvl="1" w:tplc="AB8C96AC">
      <w:numFmt w:val="bullet"/>
      <w:lvlText w:val="•"/>
      <w:lvlJc w:val="left"/>
      <w:pPr>
        <w:ind w:left="486" w:hanging="144"/>
      </w:pPr>
      <w:rPr>
        <w:rFonts w:hint="default"/>
        <w:lang w:val="en-GB" w:eastAsia="en-GB" w:bidi="en-GB"/>
      </w:rPr>
    </w:lvl>
    <w:lvl w:ilvl="2" w:tplc="F20C3E4E">
      <w:numFmt w:val="bullet"/>
      <w:lvlText w:val="•"/>
      <w:lvlJc w:val="left"/>
      <w:pPr>
        <w:ind w:left="713" w:hanging="144"/>
      </w:pPr>
      <w:rPr>
        <w:rFonts w:hint="default"/>
        <w:lang w:val="en-GB" w:eastAsia="en-GB" w:bidi="en-GB"/>
      </w:rPr>
    </w:lvl>
    <w:lvl w:ilvl="3" w:tplc="ABE64248">
      <w:numFmt w:val="bullet"/>
      <w:lvlText w:val="•"/>
      <w:lvlJc w:val="left"/>
      <w:pPr>
        <w:ind w:left="939" w:hanging="144"/>
      </w:pPr>
      <w:rPr>
        <w:rFonts w:hint="default"/>
        <w:lang w:val="en-GB" w:eastAsia="en-GB" w:bidi="en-GB"/>
      </w:rPr>
    </w:lvl>
    <w:lvl w:ilvl="4" w:tplc="307C5C54">
      <w:numFmt w:val="bullet"/>
      <w:lvlText w:val="•"/>
      <w:lvlJc w:val="left"/>
      <w:pPr>
        <w:ind w:left="1166" w:hanging="144"/>
      </w:pPr>
      <w:rPr>
        <w:rFonts w:hint="default"/>
        <w:lang w:val="en-GB" w:eastAsia="en-GB" w:bidi="en-GB"/>
      </w:rPr>
    </w:lvl>
    <w:lvl w:ilvl="5" w:tplc="5DAABA3E">
      <w:numFmt w:val="bullet"/>
      <w:lvlText w:val="•"/>
      <w:lvlJc w:val="left"/>
      <w:pPr>
        <w:ind w:left="1393" w:hanging="144"/>
      </w:pPr>
      <w:rPr>
        <w:rFonts w:hint="default"/>
        <w:lang w:val="en-GB" w:eastAsia="en-GB" w:bidi="en-GB"/>
      </w:rPr>
    </w:lvl>
    <w:lvl w:ilvl="6" w:tplc="5D342676">
      <w:numFmt w:val="bullet"/>
      <w:lvlText w:val="•"/>
      <w:lvlJc w:val="left"/>
      <w:pPr>
        <w:ind w:left="1619" w:hanging="144"/>
      </w:pPr>
      <w:rPr>
        <w:rFonts w:hint="default"/>
        <w:lang w:val="en-GB" w:eastAsia="en-GB" w:bidi="en-GB"/>
      </w:rPr>
    </w:lvl>
    <w:lvl w:ilvl="7" w:tplc="D410E218">
      <w:numFmt w:val="bullet"/>
      <w:lvlText w:val="•"/>
      <w:lvlJc w:val="left"/>
      <w:pPr>
        <w:ind w:left="1846" w:hanging="144"/>
      </w:pPr>
      <w:rPr>
        <w:rFonts w:hint="default"/>
        <w:lang w:val="en-GB" w:eastAsia="en-GB" w:bidi="en-GB"/>
      </w:rPr>
    </w:lvl>
    <w:lvl w:ilvl="8" w:tplc="7382D546">
      <w:numFmt w:val="bullet"/>
      <w:lvlText w:val="•"/>
      <w:lvlJc w:val="left"/>
      <w:pPr>
        <w:ind w:left="2072" w:hanging="144"/>
      </w:pPr>
      <w:rPr>
        <w:rFonts w:hint="default"/>
        <w:lang w:val="en-GB" w:eastAsia="en-GB" w:bidi="en-GB"/>
      </w:rPr>
    </w:lvl>
  </w:abstractNum>
  <w:abstractNum w:abstractNumId="1" w15:restartNumberingAfterBreak="0">
    <w:nsid w:val="1DFD196E"/>
    <w:multiLevelType w:val="hybridMultilevel"/>
    <w:tmpl w:val="69A66710"/>
    <w:lvl w:ilvl="0" w:tplc="4328D9F0">
      <w:numFmt w:val="bullet"/>
      <w:lvlText w:val="-"/>
      <w:lvlJc w:val="left"/>
      <w:pPr>
        <w:ind w:left="258" w:hanging="144"/>
      </w:pPr>
      <w:rPr>
        <w:rFonts w:ascii="Arial Narrow" w:eastAsia="Arial Narrow" w:hAnsi="Arial Narrow" w:cs="Arial Narrow" w:hint="default"/>
        <w:w w:val="102"/>
        <w:sz w:val="20"/>
        <w:szCs w:val="20"/>
        <w:lang w:val="en-GB" w:eastAsia="en-GB" w:bidi="en-GB"/>
      </w:rPr>
    </w:lvl>
    <w:lvl w:ilvl="1" w:tplc="71A2C9C8">
      <w:numFmt w:val="bullet"/>
      <w:lvlText w:val="•"/>
      <w:lvlJc w:val="left"/>
      <w:pPr>
        <w:ind w:left="486" w:hanging="144"/>
      </w:pPr>
      <w:rPr>
        <w:rFonts w:hint="default"/>
        <w:lang w:val="en-GB" w:eastAsia="en-GB" w:bidi="en-GB"/>
      </w:rPr>
    </w:lvl>
    <w:lvl w:ilvl="2" w:tplc="7084F05A">
      <w:numFmt w:val="bullet"/>
      <w:lvlText w:val="•"/>
      <w:lvlJc w:val="left"/>
      <w:pPr>
        <w:ind w:left="712" w:hanging="144"/>
      </w:pPr>
      <w:rPr>
        <w:rFonts w:hint="default"/>
        <w:lang w:val="en-GB" w:eastAsia="en-GB" w:bidi="en-GB"/>
      </w:rPr>
    </w:lvl>
    <w:lvl w:ilvl="3" w:tplc="63BED934">
      <w:numFmt w:val="bullet"/>
      <w:lvlText w:val="•"/>
      <w:lvlJc w:val="left"/>
      <w:pPr>
        <w:ind w:left="939" w:hanging="144"/>
      </w:pPr>
      <w:rPr>
        <w:rFonts w:hint="default"/>
        <w:lang w:val="en-GB" w:eastAsia="en-GB" w:bidi="en-GB"/>
      </w:rPr>
    </w:lvl>
    <w:lvl w:ilvl="4" w:tplc="38A8D4E6">
      <w:numFmt w:val="bullet"/>
      <w:lvlText w:val="•"/>
      <w:lvlJc w:val="left"/>
      <w:pPr>
        <w:ind w:left="1165" w:hanging="144"/>
      </w:pPr>
      <w:rPr>
        <w:rFonts w:hint="default"/>
        <w:lang w:val="en-GB" w:eastAsia="en-GB" w:bidi="en-GB"/>
      </w:rPr>
    </w:lvl>
    <w:lvl w:ilvl="5" w:tplc="29A28E8C">
      <w:numFmt w:val="bullet"/>
      <w:lvlText w:val="•"/>
      <w:lvlJc w:val="left"/>
      <w:pPr>
        <w:ind w:left="1392" w:hanging="144"/>
      </w:pPr>
      <w:rPr>
        <w:rFonts w:hint="default"/>
        <w:lang w:val="en-GB" w:eastAsia="en-GB" w:bidi="en-GB"/>
      </w:rPr>
    </w:lvl>
    <w:lvl w:ilvl="6" w:tplc="1D3CDEB6">
      <w:numFmt w:val="bullet"/>
      <w:lvlText w:val="•"/>
      <w:lvlJc w:val="left"/>
      <w:pPr>
        <w:ind w:left="1618" w:hanging="144"/>
      </w:pPr>
      <w:rPr>
        <w:rFonts w:hint="default"/>
        <w:lang w:val="en-GB" w:eastAsia="en-GB" w:bidi="en-GB"/>
      </w:rPr>
    </w:lvl>
    <w:lvl w:ilvl="7" w:tplc="739A6B22">
      <w:numFmt w:val="bullet"/>
      <w:lvlText w:val="•"/>
      <w:lvlJc w:val="left"/>
      <w:pPr>
        <w:ind w:left="1844" w:hanging="144"/>
      </w:pPr>
      <w:rPr>
        <w:rFonts w:hint="default"/>
        <w:lang w:val="en-GB" w:eastAsia="en-GB" w:bidi="en-GB"/>
      </w:rPr>
    </w:lvl>
    <w:lvl w:ilvl="8" w:tplc="7B9817F4">
      <w:numFmt w:val="bullet"/>
      <w:lvlText w:val="•"/>
      <w:lvlJc w:val="left"/>
      <w:pPr>
        <w:ind w:left="2071" w:hanging="144"/>
      </w:pPr>
      <w:rPr>
        <w:rFonts w:hint="default"/>
        <w:lang w:val="en-GB" w:eastAsia="en-GB" w:bidi="en-GB"/>
      </w:rPr>
    </w:lvl>
  </w:abstractNum>
  <w:abstractNum w:abstractNumId="2" w15:restartNumberingAfterBreak="0">
    <w:nsid w:val="20A75952"/>
    <w:multiLevelType w:val="hybridMultilevel"/>
    <w:tmpl w:val="B9185742"/>
    <w:lvl w:ilvl="0" w:tplc="D32E3928">
      <w:numFmt w:val="bullet"/>
      <w:lvlText w:val="-"/>
      <w:lvlJc w:val="left"/>
      <w:pPr>
        <w:ind w:left="258" w:hanging="144"/>
      </w:pPr>
      <w:rPr>
        <w:rFonts w:ascii="Arial Narrow" w:eastAsia="Arial Narrow" w:hAnsi="Arial Narrow" w:cs="Arial Narrow" w:hint="default"/>
        <w:w w:val="102"/>
        <w:sz w:val="20"/>
        <w:szCs w:val="20"/>
        <w:lang w:val="en-GB" w:eastAsia="en-GB" w:bidi="en-GB"/>
      </w:rPr>
    </w:lvl>
    <w:lvl w:ilvl="1" w:tplc="134EE9E4">
      <w:numFmt w:val="bullet"/>
      <w:lvlText w:val="•"/>
      <w:lvlJc w:val="left"/>
      <w:pPr>
        <w:ind w:left="486" w:hanging="144"/>
      </w:pPr>
      <w:rPr>
        <w:rFonts w:hint="default"/>
        <w:lang w:val="en-GB" w:eastAsia="en-GB" w:bidi="en-GB"/>
      </w:rPr>
    </w:lvl>
    <w:lvl w:ilvl="2" w:tplc="5D482EBE">
      <w:numFmt w:val="bullet"/>
      <w:lvlText w:val="•"/>
      <w:lvlJc w:val="left"/>
      <w:pPr>
        <w:ind w:left="713" w:hanging="144"/>
      </w:pPr>
      <w:rPr>
        <w:rFonts w:hint="default"/>
        <w:lang w:val="en-GB" w:eastAsia="en-GB" w:bidi="en-GB"/>
      </w:rPr>
    </w:lvl>
    <w:lvl w:ilvl="3" w:tplc="8012A81E">
      <w:numFmt w:val="bullet"/>
      <w:lvlText w:val="•"/>
      <w:lvlJc w:val="left"/>
      <w:pPr>
        <w:ind w:left="940" w:hanging="144"/>
      </w:pPr>
      <w:rPr>
        <w:rFonts w:hint="default"/>
        <w:lang w:val="en-GB" w:eastAsia="en-GB" w:bidi="en-GB"/>
      </w:rPr>
    </w:lvl>
    <w:lvl w:ilvl="4" w:tplc="24B81BAC">
      <w:numFmt w:val="bullet"/>
      <w:lvlText w:val="•"/>
      <w:lvlJc w:val="left"/>
      <w:pPr>
        <w:ind w:left="1167" w:hanging="144"/>
      </w:pPr>
      <w:rPr>
        <w:rFonts w:hint="default"/>
        <w:lang w:val="en-GB" w:eastAsia="en-GB" w:bidi="en-GB"/>
      </w:rPr>
    </w:lvl>
    <w:lvl w:ilvl="5" w:tplc="061EF874">
      <w:numFmt w:val="bullet"/>
      <w:lvlText w:val="•"/>
      <w:lvlJc w:val="left"/>
      <w:pPr>
        <w:ind w:left="1394" w:hanging="144"/>
      </w:pPr>
      <w:rPr>
        <w:rFonts w:hint="default"/>
        <w:lang w:val="en-GB" w:eastAsia="en-GB" w:bidi="en-GB"/>
      </w:rPr>
    </w:lvl>
    <w:lvl w:ilvl="6" w:tplc="2ADA71AA">
      <w:numFmt w:val="bullet"/>
      <w:lvlText w:val="•"/>
      <w:lvlJc w:val="left"/>
      <w:pPr>
        <w:ind w:left="1621" w:hanging="144"/>
      </w:pPr>
      <w:rPr>
        <w:rFonts w:hint="default"/>
        <w:lang w:val="en-GB" w:eastAsia="en-GB" w:bidi="en-GB"/>
      </w:rPr>
    </w:lvl>
    <w:lvl w:ilvl="7" w:tplc="E6A26816">
      <w:numFmt w:val="bullet"/>
      <w:lvlText w:val="•"/>
      <w:lvlJc w:val="left"/>
      <w:pPr>
        <w:ind w:left="1848" w:hanging="144"/>
      </w:pPr>
      <w:rPr>
        <w:rFonts w:hint="default"/>
        <w:lang w:val="en-GB" w:eastAsia="en-GB" w:bidi="en-GB"/>
      </w:rPr>
    </w:lvl>
    <w:lvl w:ilvl="8" w:tplc="A9A844A8">
      <w:numFmt w:val="bullet"/>
      <w:lvlText w:val="•"/>
      <w:lvlJc w:val="left"/>
      <w:pPr>
        <w:ind w:left="2075" w:hanging="144"/>
      </w:pPr>
      <w:rPr>
        <w:rFonts w:hint="default"/>
        <w:lang w:val="en-GB" w:eastAsia="en-GB" w:bidi="en-GB"/>
      </w:rPr>
    </w:lvl>
  </w:abstractNum>
  <w:abstractNum w:abstractNumId="3" w15:restartNumberingAfterBreak="0">
    <w:nsid w:val="25EA367E"/>
    <w:multiLevelType w:val="hybridMultilevel"/>
    <w:tmpl w:val="65FC0652"/>
    <w:lvl w:ilvl="0" w:tplc="D96EE188">
      <w:numFmt w:val="bullet"/>
      <w:lvlText w:val="-"/>
      <w:lvlJc w:val="left"/>
      <w:pPr>
        <w:ind w:left="258" w:hanging="144"/>
      </w:pPr>
      <w:rPr>
        <w:rFonts w:ascii="Arial Narrow" w:eastAsia="Arial Narrow" w:hAnsi="Arial Narrow" w:cs="Arial Narrow" w:hint="default"/>
        <w:w w:val="102"/>
        <w:sz w:val="20"/>
        <w:szCs w:val="20"/>
        <w:lang w:val="en-GB" w:eastAsia="en-GB" w:bidi="en-GB"/>
      </w:rPr>
    </w:lvl>
    <w:lvl w:ilvl="1" w:tplc="A956C2EC">
      <w:numFmt w:val="bullet"/>
      <w:lvlText w:val="•"/>
      <w:lvlJc w:val="left"/>
      <w:pPr>
        <w:ind w:left="483" w:hanging="144"/>
      </w:pPr>
      <w:rPr>
        <w:rFonts w:hint="default"/>
        <w:lang w:val="en-GB" w:eastAsia="en-GB" w:bidi="en-GB"/>
      </w:rPr>
    </w:lvl>
    <w:lvl w:ilvl="2" w:tplc="57BC1D20">
      <w:numFmt w:val="bullet"/>
      <w:lvlText w:val="•"/>
      <w:lvlJc w:val="left"/>
      <w:pPr>
        <w:ind w:left="706" w:hanging="144"/>
      </w:pPr>
      <w:rPr>
        <w:rFonts w:hint="default"/>
        <w:lang w:val="en-GB" w:eastAsia="en-GB" w:bidi="en-GB"/>
      </w:rPr>
    </w:lvl>
    <w:lvl w:ilvl="3" w:tplc="B78E5F48">
      <w:numFmt w:val="bullet"/>
      <w:lvlText w:val="•"/>
      <w:lvlJc w:val="left"/>
      <w:pPr>
        <w:ind w:left="930" w:hanging="144"/>
      </w:pPr>
      <w:rPr>
        <w:rFonts w:hint="default"/>
        <w:lang w:val="en-GB" w:eastAsia="en-GB" w:bidi="en-GB"/>
      </w:rPr>
    </w:lvl>
    <w:lvl w:ilvl="4" w:tplc="DCEAABF8">
      <w:numFmt w:val="bullet"/>
      <w:lvlText w:val="•"/>
      <w:lvlJc w:val="left"/>
      <w:pPr>
        <w:ind w:left="1153" w:hanging="144"/>
      </w:pPr>
      <w:rPr>
        <w:rFonts w:hint="default"/>
        <w:lang w:val="en-GB" w:eastAsia="en-GB" w:bidi="en-GB"/>
      </w:rPr>
    </w:lvl>
    <w:lvl w:ilvl="5" w:tplc="B87AD710">
      <w:numFmt w:val="bullet"/>
      <w:lvlText w:val="•"/>
      <w:lvlJc w:val="left"/>
      <w:pPr>
        <w:ind w:left="1377" w:hanging="144"/>
      </w:pPr>
      <w:rPr>
        <w:rFonts w:hint="default"/>
        <w:lang w:val="en-GB" w:eastAsia="en-GB" w:bidi="en-GB"/>
      </w:rPr>
    </w:lvl>
    <w:lvl w:ilvl="6" w:tplc="3AF6745E">
      <w:numFmt w:val="bullet"/>
      <w:lvlText w:val="•"/>
      <w:lvlJc w:val="left"/>
      <w:pPr>
        <w:ind w:left="1600" w:hanging="144"/>
      </w:pPr>
      <w:rPr>
        <w:rFonts w:hint="default"/>
        <w:lang w:val="en-GB" w:eastAsia="en-GB" w:bidi="en-GB"/>
      </w:rPr>
    </w:lvl>
    <w:lvl w:ilvl="7" w:tplc="AECC7B2E">
      <w:numFmt w:val="bullet"/>
      <w:lvlText w:val="•"/>
      <w:lvlJc w:val="left"/>
      <w:pPr>
        <w:ind w:left="1823" w:hanging="144"/>
      </w:pPr>
      <w:rPr>
        <w:rFonts w:hint="default"/>
        <w:lang w:val="en-GB" w:eastAsia="en-GB" w:bidi="en-GB"/>
      </w:rPr>
    </w:lvl>
    <w:lvl w:ilvl="8" w:tplc="32007320">
      <w:numFmt w:val="bullet"/>
      <w:lvlText w:val="•"/>
      <w:lvlJc w:val="left"/>
      <w:pPr>
        <w:ind w:left="2047" w:hanging="144"/>
      </w:pPr>
      <w:rPr>
        <w:rFonts w:hint="default"/>
        <w:lang w:val="en-GB" w:eastAsia="en-GB" w:bidi="en-GB"/>
      </w:rPr>
    </w:lvl>
  </w:abstractNum>
  <w:abstractNum w:abstractNumId="4" w15:restartNumberingAfterBreak="0">
    <w:nsid w:val="401824AA"/>
    <w:multiLevelType w:val="hybridMultilevel"/>
    <w:tmpl w:val="A3E4095E"/>
    <w:lvl w:ilvl="0" w:tplc="A2D69614">
      <w:numFmt w:val="bullet"/>
      <w:lvlText w:val="-"/>
      <w:lvlJc w:val="left"/>
      <w:pPr>
        <w:ind w:left="258" w:hanging="144"/>
      </w:pPr>
      <w:rPr>
        <w:rFonts w:ascii="Arial Narrow" w:eastAsia="Arial Narrow" w:hAnsi="Arial Narrow" w:cs="Arial Narrow" w:hint="default"/>
        <w:w w:val="102"/>
        <w:sz w:val="20"/>
        <w:szCs w:val="20"/>
        <w:lang w:val="en-GB" w:eastAsia="en-GB" w:bidi="en-GB"/>
      </w:rPr>
    </w:lvl>
    <w:lvl w:ilvl="1" w:tplc="0C2C6424">
      <w:numFmt w:val="bullet"/>
      <w:lvlText w:val="•"/>
      <w:lvlJc w:val="left"/>
      <w:pPr>
        <w:ind w:left="485" w:hanging="144"/>
      </w:pPr>
      <w:rPr>
        <w:rFonts w:hint="default"/>
        <w:lang w:val="en-GB" w:eastAsia="en-GB" w:bidi="en-GB"/>
      </w:rPr>
    </w:lvl>
    <w:lvl w:ilvl="2" w:tplc="3F32F2AC">
      <w:numFmt w:val="bullet"/>
      <w:lvlText w:val="•"/>
      <w:lvlJc w:val="left"/>
      <w:pPr>
        <w:ind w:left="711" w:hanging="144"/>
      </w:pPr>
      <w:rPr>
        <w:rFonts w:hint="default"/>
        <w:lang w:val="en-GB" w:eastAsia="en-GB" w:bidi="en-GB"/>
      </w:rPr>
    </w:lvl>
    <w:lvl w:ilvl="3" w:tplc="6FB6394E">
      <w:numFmt w:val="bullet"/>
      <w:lvlText w:val="•"/>
      <w:lvlJc w:val="left"/>
      <w:pPr>
        <w:ind w:left="937" w:hanging="144"/>
      </w:pPr>
      <w:rPr>
        <w:rFonts w:hint="default"/>
        <w:lang w:val="en-GB" w:eastAsia="en-GB" w:bidi="en-GB"/>
      </w:rPr>
    </w:lvl>
    <w:lvl w:ilvl="4" w:tplc="F61E9BBE">
      <w:numFmt w:val="bullet"/>
      <w:lvlText w:val="•"/>
      <w:lvlJc w:val="left"/>
      <w:pPr>
        <w:ind w:left="1163" w:hanging="144"/>
      </w:pPr>
      <w:rPr>
        <w:rFonts w:hint="default"/>
        <w:lang w:val="en-GB" w:eastAsia="en-GB" w:bidi="en-GB"/>
      </w:rPr>
    </w:lvl>
    <w:lvl w:ilvl="5" w:tplc="4D74DC9E">
      <w:numFmt w:val="bullet"/>
      <w:lvlText w:val="•"/>
      <w:lvlJc w:val="left"/>
      <w:pPr>
        <w:ind w:left="1389" w:hanging="144"/>
      </w:pPr>
      <w:rPr>
        <w:rFonts w:hint="default"/>
        <w:lang w:val="en-GB" w:eastAsia="en-GB" w:bidi="en-GB"/>
      </w:rPr>
    </w:lvl>
    <w:lvl w:ilvl="6" w:tplc="155E3AFC">
      <w:numFmt w:val="bullet"/>
      <w:lvlText w:val="•"/>
      <w:lvlJc w:val="left"/>
      <w:pPr>
        <w:ind w:left="1615" w:hanging="144"/>
      </w:pPr>
      <w:rPr>
        <w:rFonts w:hint="default"/>
        <w:lang w:val="en-GB" w:eastAsia="en-GB" w:bidi="en-GB"/>
      </w:rPr>
    </w:lvl>
    <w:lvl w:ilvl="7" w:tplc="482057AC">
      <w:numFmt w:val="bullet"/>
      <w:lvlText w:val="•"/>
      <w:lvlJc w:val="left"/>
      <w:pPr>
        <w:ind w:left="1841" w:hanging="144"/>
      </w:pPr>
      <w:rPr>
        <w:rFonts w:hint="default"/>
        <w:lang w:val="en-GB" w:eastAsia="en-GB" w:bidi="en-GB"/>
      </w:rPr>
    </w:lvl>
    <w:lvl w:ilvl="8" w:tplc="F95AA164">
      <w:numFmt w:val="bullet"/>
      <w:lvlText w:val="•"/>
      <w:lvlJc w:val="left"/>
      <w:pPr>
        <w:ind w:left="2067" w:hanging="144"/>
      </w:pPr>
      <w:rPr>
        <w:rFonts w:hint="default"/>
        <w:lang w:val="en-GB" w:eastAsia="en-GB" w:bidi="en-GB"/>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jSzMDUxNDM1MDFS0lEKTi0uzszPAykwqgUASOm8cSwAAAA="/>
    <w:docVar w:name="EN.InstantFormat" w:val="&lt;ENInstantFormat&gt;&lt;Enabled&gt;1&lt;/Enabled&gt;&lt;ScanUnformatted&gt;1&lt;/ScanUnformatted&gt;&lt;ScanChanges&gt;1&lt;/ScanChanges&gt;&lt;Suspended&gt;0&lt;/Suspended&gt;&lt;/ENInstantFormat&gt;"/>
    <w:docVar w:name="EN.Layout" w:val="&lt;ENLayout&gt;&lt;Style&gt;BMJ GH style &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ffwvda9zd9eoex05sxtvvsa29verrx9rw2&quot;&gt;BMJGH&lt;record-ids&gt;&lt;item&gt;52&lt;/item&gt;&lt;/record-ids&gt;&lt;/item&gt;&lt;/Libraries&gt;"/>
  </w:docVars>
  <w:rsids>
    <w:rsidRoot w:val="00B73B02"/>
    <w:rsid w:val="00176BFF"/>
    <w:rsid w:val="0031440A"/>
    <w:rsid w:val="00367D88"/>
    <w:rsid w:val="003C7586"/>
    <w:rsid w:val="00470F21"/>
    <w:rsid w:val="005F5B25"/>
    <w:rsid w:val="007E1445"/>
    <w:rsid w:val="00924623"/>
    <w:rsid w:val="009970EB"/>
    <w:rsid w:val="00AD61E7"/>
    <w:rsid w:val="00B73B02"/>
    <w:rsid w:val="00CC4102"/>
    <w:rsid w:val="00EC6D1E"/>
    <w:rsid w:val="00ED5B9A"/>
    <w:rsid w:val="00F16F7E"/>
    <w:rsid w:val="00F4775B"/>
    <w:rsid w:val="00F7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8769"/>
  <w15:docId w15:val="{C71FBB30-93B9-4E1E-93F3-33BBEE0F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67D88"/>
    <w:rPr>
      <w:sz w:val="20"/>
      <w:szCs w:val="20"/>
    </w:rPr>
  </w:style>
  <w:style w:type="character" w:customStyle="1" w:styleId="FootnoteTextChar">
    <w:name w:val="Footnote Text Char"/>
    <w:basedOn w:val="DefaultParagraphFont"/>
    <w:link w:val="FootnoteText"/>
    <w:uiPriority w:val="99"/>
    <w:semiHidden/>
    <w:rsid w:val="00367D88"/>
    <w:rPr>
      <w:rFonts w:ascii="Arial Narrow" w:eastAsia="Arial Narrow" w:hAnsi="Arial Narrow" w:cs="Arial Narrow"/>
      <w:sz w:val="20"/>
      <w:szCs w:val="20"/>
      <w:lang w:val="en-GB" w:eastAsia="en-GB" w:bidi="en-GB"/>
    </w:rPr>
  </w:style>
  <w:style w:type="character" w:styleId="FootnoteReference">
    <w:name w:val="footnote reference"/>
    <w:basedOn w:val="DefaultParagraphFont"/>
    <w:uiPriority w:val="99"/>
    <w:semiHidden/>
    <w:unhideWhenUsed/>
    <w:rsid w:val="00367D88"/>
    <w:rPr>
      <w:vertAlign w:val="superscript"/>
    </w:rPr>
  </w:style>
  <w:style w:type="paragraph" w:styleId="BalloonText">
    <w:name w:val="Balloon Text"/>
    <w:basedOn w:val="Normal"/>
    <w:link w:val="BalloonTextChar"/>
    <w:uiPriority w:val="99"/>
    <w:semiHidden/>
    <w:unhideWhenUsed/>
    <w:rsid w:val="00367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88"/>
    <w:rPr>
      <w:rFonts w:ascii="Segoe UI" w:eastAsia="Arial Narrow" w:hAnsi="Segoe UI" w:cs="Segoe UI"/>
      <w:sz w:val="18"/>
      <w:szCs w:val="18"/>
      <w:lang w:val="en-GB" w:eastAsia="en-GB" w:bidi="en-GB"/>
    </w:rPr>
  </w:style>
  <w:style w:type="paragraph" w:customStyle="1" w:styleId="EndNoteBibliographyTitle">
    <w:name w:val="EndNote Bibliography Title"/>
    <w:basedOn w:val="Normal"/>
    <w:link w:val="EndNoteBibliographyTitleChar"/>
    <w:rsid w:val="00367D88"/>
    <w:pPr>
      <w:jc w:val="center"/>
    </w:pPr>
    <w:rPr>
      <w:noProof/>
    </w:rPr>
  </w:style>
  <w:style w:type="character" w:customStyle="1" w:styleId="EndNoteBibliographyTitleChar">
    <w:name w:val="EndNote Bibliography Title Char"/>
    <w:basedOn w:val="FootnoteTextChar"/>
    <w:link w:val="EndNoteBibliographyTitle"/>
    <w:rsid w:val="00367D88"/>
    <w:rPr>
      <w:rFonts w:ascii="Arial Narrow" w:eastAsia="Arial Narrow" w:hAnsi="Arial Narrow" w:cs="Arial Narrow"/>
      <w:noProof/>
      <w:sz w:val="20"/>
      <w:szCs w:val="20"/>
      <w:lang w:val="en-GB" w:eastAsia="en-GB" w:bidi="en-GB"/>
    </w:rPr>
  </w:style>
  <w:style w:type="paragraph" w:customStyle="1" w:styleId="EndNoteBibliography">
    <w:name w:val="EndNote Bibliography"/>
    <w:basedOn w:val="Normal"/>
    <w:link w:val="EndNoteBibliographyChar"/>
    <w:rsid w:val="00367D88"/>
    <w:rPr>
      <w:noProof/>
    </w:rPr>
  </w:style>
  <w:style w:type="character" w:customStyle="1" w:styleId="EndNoteBibliographyChar">
    <w:name w:val="EndNote Bibliography Char"/>
    <w:basedOn w:val="FootnoteTextChar"/>
    <w:link w:val="EndNoteBibliography"/>
    <w:rsid w:val="00367D88"/>
    <w:rPr>
      <w:rFonts w:ascii="Arial Narrow" w:eastAsia="Arial Narrow" w:hAnsi="Arial Narrow" w:cs="Arial Narrow"/>
      <w:noProof/>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ynewbornnetwork.org/hnn-content/uploads/National_Community_Health_Strategy_2017-2022-FINAL.pdf" TargetMode="External"/><Relationship Id="rId1" Type="http://schemas.openxmlformats.org/officeDocument/2006/relationships/hyperlink" Target="https://www.healthynewbornnetwork.org/hnn-content/uploads/National_Community_Health_Strategy_2017-202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1519-98E5-4A70-9B6D-F5A3BB82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Manuscript outline_v2</vt:lpstr>
    </vt:vector>
  </TitlesOfParts>
  <Company>Vrije Universiteit Amsterdam</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outline_v2</dc:title>
  <dc:creator>Angwenyi, V.</dc:creator>
  <cp:lastModifiedBy>Angwenyi, V.</cp:lastModifiedBy>
  <cp:revision>4</cp:revision>
  <dcterms:created xsi:type="dcterms:W3CDTF">2018-09-17T10:34:00Z</dcterms:created>
  <dcterms:modified xsi:type="dcterms:W3CDTF">2018-09-17T10:36:00Z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2018-08-18T00:00:00Z</vt:filetime>
  </property>
  <property fmtid="{D5CDD505-2E9C-101B-9397-08002B2CF9AE}" pid="3" name="Creator">
    <vt:lpwstr>Microsoft® Word 2010</vt:lpwstr>
  </property>
  <property fmtid="{D5CDD505-2E9C-101B-9397-08002B2CF9AE}" pid="4" name="LastSaved">
    <vt:filetime>2018-09-17T00:00:00Z</vt:filetime>
  </property>
</Properties>
</file>